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F4" w:rsidRPr="00296C18" w:rsidRDefault="007772A9" w:rsidP="00A476F4">
      <w:pPr>
        <w:autoSpaceDE w:val="0"/>
        <w:autoSpaceDN w:val="0"/>
        <w:adjustRightInd w:val="0"/>
        <w:spacing w:after="0" w:line="240" w:lineRule="auto"/>
        <w:jc w:val="center"/>
        <w:rPr>
          <w:rFonts w:cs="DIN-Bold"/>
          <w:b/>
          <w:bCs/>
          <w:sz w:val="28"/>
          <w:szCs w:val="28"/>
        </w:rPr>
      </w:pPr>
      <w:r w:rsidRPr="007772A9">
        <w:rPr>
          <w:rFonts w:cs="DIN-Bold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-469900</wp:posOffset>
            </wp:positionH>
            <wp:positionV relativeFrom="margin">
              <wp:posOffset>-457200</wp:posOffset>
            </wp:positionV>
            <wp:extent cx="7576185" cy="1690370"/>
            <wp:effectExtent l="19050" t="0" r="5715" b="0"/>
            <wp:wrapSquare wrapText="bothSides"/>
            <wp:docPr id="9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CCF">
        <w:rPr>
          <w:rFonts w:cs="DIN-Bold"/>
          <w:b/>
          <w:bCs/>
          <w:sz w:val="28"/>
          <w:szCs w:val="28"/>
        </w:rPr>
        <w:t>SELECT</w:t>
      </w:r>
      <w:r w:rsidR="00A476F4" w:rsidRPr="00296C18">
        <w:rPr>
          <w:rFonts w:cs="DIN-Bold"/>
          <w:b/>
          <w:bCs/>
          <w:sz w:val="28"/>
          <w:szCs w:val="28"/>
        </w:rPr>
        <w:t xml:space="preserve"> EGGSHELL MATT EMULSION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296C18">
        <w:rPr>
          <w:rFonts w:cs="DIN-Bold"/>
          <w:b/>
          <w:bCs/>
          <w:sz w:val="26"/>
          <w:szCs w:val="26"/>
        </w:rPr>
        <w:t>Product Description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proofErr w:type="gramStart"/>
      <w:r w:rsidRPr="00296C18">
        <w:rPr>
          <w:rFonts w:cs="DIN-Regular"/>
        </w:rPr>
        <w:t>A high</w:t>
      </w:r>
      <w:proofErr w:type="gramEnd"/>
      <w:r w:rsidRPr="00296C18">
        <w:rPr>
          <w:rFonts w:cs="DIN-Regular"/>
        </w:rPr>
        <w:t xml:space="preserve"> quality acrylic co-polymer latex pigmented with titanium dioxide and other light-fast and alkali resisting pigments. It has good flow and levelling and colour retention properties. It is an ideal smooth and matt coating for internal areas.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296C18">
        <w:rPr>
          <w:rFonts w:cs="DIN-Bold"/>
          <w:b/>
          <w:bCs/>
          <w:sz w:val="26"/>
          <w:szCs w:val="26"/>
        </w:rPr>
        <w:t>Recommended Areas of Application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Bold"/>
          <w:b/>
          <w:bCs/>
        </w:rPr>
        <w:t xml:space="preserve">Area of Use: </w:t>
      </w:r>
      <w:r w:rsidRPr="00296C18">
        <w:rPr>
          <w:rFonts w:cs="DIN-Regular"/>
        </w:rPr>
        <w:t>Interior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0"/>
        </w:rPr>
      </w:pPr>
      <w:r w:rsidRPr="00296C18">
        <w:rPr>
          <w:rFonts w:cs="DIN-Bold"/>
          <w:b/>
          <w:bCs/>
        </w:rPr>
        <w:t xml:space="preserve">Substrate: </w:t>
      </w:r>
      <w:r w:rsidRPr="00296C18">
        <w:rPr>
          <w:rFonts w:cs="DIN-Regular"/>
        </w:rPr>
        <w:t xml:space="preserve">Concrete, Plaster, Masonry, Brickwork, </w:t>
      </w:r>
      <w:proofErr w:type="spellStart"/>
      <w:r w:rsidRPr="00296C18">
        <w:rPr>
          <w:rFonts w:cs="DIN-Regular"/>
        </w:rPr>
        <w:t>Blockwork</w:t>
      </w:r>
      <w:proofErr w:type="spellEnd"/>
      <w:r w:rsidRPr="00296C18">
        <w:rPr>
          <w:rFonts w:cs="DIN-Regular"/>
        </w:rPr>
        <w:t>, Gypsum, Timber</w:t>
      </w:r>
      <w:r w:rsidRPr="00296C18">
        <w:rPr>
          <w:rFonts w:cs="DIN-Regular"/>
          <w:sz w:val="20"/>
          <w:szCs w:val="20"/>
        </w:rPr>
        <w:t>.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296C18">
        <w:rPr>
          <w:rFonts w:cs="DIN-Bold"/>
          <w:b/>
          <w:bCs/>
          <w:sz w:val="26"/>
          <w:szCs w:val="26"/>
        </w:rPr>
        <w:t>Technical Data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Bold"/>
          <w:b/>
          <w:bCs/>
        </w:rPr>
        <w:t xml:space="preserve">Sheen Variants: </w:t>
      </w:r>
      <w:r w:rsidRPr="00296C18">
        <w:rPr>
          <w:rFonts w:cs="DIN-Regular"/>
        </w:rPr>
        <w:t>Matt, Smooth</w:t>
      </w:r>
    </w:p>
    <w:p w:rsidR="00A476F4" w:rsidRPr="00296C18" w:rsidRDefault="00A476F4" w:rsidP="00A476F4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Bold"/>
          <w:b/>
          <w:bCs/>
        </w:rPr>
        <w:t xml:space="preserve">Colours: </w:t>
      </w:r>
      <w:r w:rsidRPr="00296C18">
        <w:rPr>
          <w:rFonts w:cs="DIN-Regular"/>
        </w:rPr>
        <w:t>As per shade card</w:t>
      </w:r>
    </w:p>
    <w:p w:rsidR="005E0C57" w:rsidRPr="00296C18" w:rsidRDefault="00A476F4" w:rsidP="00A476F4">
      <w:pPr>
        <w:rPr>
          <w:rFonts w:cs="DIN-Regular"/>
        </w:rPr>
      </w:pPr>
      <w:r w:rsidRPr="00296C18">
        <w:rPr>
          <w:rFonts w:cs="DIN-Bold"/>
          <w:b/>
          <w:bCs/>
        </w:rPr>
        <w:t xml:space="preserve">Volume Solids: </w:t>
      </w:r>
      <w:r w:rsidRPr="00296C18">
        <w:rPr>
          <w:rFonts w:cs="DIN-Regular"/>
        </w:rPr>
        <w:t>35% ± 2%</w:t>
      </w:r>
    </w:p>
    <w:tbl>
      <w:tblPr>
        <w:tblW w:w="0" w:type="auto"/>
        <w:jc w:val="center"/>
        <w:tblInd w:w="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7"/>
        <w:gridCol w:w="2195"/>
        <w:gridCol w:w="2288"/>
      </w:tblGrid>
      <w:tr w:rsidR="00A476F4" w:rsidRPr="00A476F4" w:rsidTr="00836518">
        <w:trPr>
          <w:trHeight w:hRule="exact" w:val="302"/>
          <w:jc w:val="center"/>
        </w:trPr>
        <w:tc>
          <w:tcPr>
            <w:tcW w:w="7010" w:type="dxa"/>
            <w:gridSpan w:val="3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b/>
                <w:bCs/>
                <w:lang w:val="en-US"/>
              </w:rPr>
              <w:t>Theoretical Covering Capacity</w:t>
            </w:r>
          </w:p>
        </w:tc>
      </w:tr>
      <w:tr w:rsidR="00A476F4" w:rsidRPr="00A476F4" w:rsidTr="00836518">
        <w:trPr>
          <w:trHeight w:hRule="exact" w:val="357"/>
          <w:jc w:val="center"/>
        </w:trPr>
        <w:tc>
          <w:tcPr>
            <w:tcW w:w="4722" w:type="dxa"/>
            <w:gridSpan w:val="2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Recommended Dry Film Thickness per Coat</w:t>
            </w:r>
          </w:p>
        </w:tc>
        <w:tc>
          <w:tcPr>
            <w:tcW w:w="2288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Theoretical Spread Rate</w:t>
            </w:r>
          </w:p>
        </w:tc>
      </w:tr>
      <w:tr w:rsidR="00A476F4" w:rsidRPr="00A476F4" w:rsidTr="00836518">
        <w:trPr>
          <w:trHeight w:hRule="exact" w:val="357"/>
          <w:jc w:val="center"/>
        </w:trPr>
        <w:tc>
          <w:tcPr>
            <w:tcW w:w="2527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b/>
                <w:bCs/>
                <w:lang w:val="en-US"/>
              </w:rPr>
              <w:t>Minimum</w:t>
            </w:r>
          </w:p>
        </w:tc>
        <w:tc>
          <w:tcPr>
            <w:tcW w:w="2195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40 microns</w:t>
            </w:r>
          </w:p>
        </w:tc>
        <w:tc>
          <w:tcPr>
            <w:tcW w:w="2288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8.50 m</w:t>
            </w:r>
            <w:r w:rsidR="005C15EB" w:rsidRPr="005C15EB">
              <w:rPr>
                <w:vertAlign w:val="superscript"/>
                <w:lang w:val="en-US"/>
              </w:rPr>
              <w:t>2</w:t>
            </w:r>
            <w:r w:rsidRPr="005C15EB">
              <w:rPr>
                <w:lang w:val="en-US"/>
              </w:rPr>
              <w:t xml:space="preserve"> /</w:t>
            </w:r>
            <w:proofErr w:type="spellStart"/>
            <w:r w:rsidRPr="005C15EB">
              <w:rPr>
                <w:lang w:val="en-US"/>
              </w:rPr>
              <w:t>Ltr</w:t>
            </w:r>
            <w:proofErr w:type="spellEnd"/>
          </w:p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2</w:t>
            </w:r>
          </w:p>
        </w:tc>
      </w:tr>
      <w:tr w:rsidR="00A476F4" w:rsidRPr="00A476F4" w:rsidTr="00836518">
        <w:trPr>
          <w:trHeight w:hRule="exact" w:val="357"/>
          <w:jc w:val="center"/>
        </w:trPr>
        <w:tc>
          <w:tcPr>
            <w:tcW w:w="2527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b/>
                <w:bCs/>
                <w:lang w:val="en-US"/>
              </w:rPr>
              <w:t>Maximum</w:t>
            </w:r>
          </w:p>
        </w:tc>
        <w:tc>
          <w:tcPr>
            <w:tcW w:w="2195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60 microns</w:t>
            </w:r>
          </w:p>
        </w:tc>
        <w:tc>
          <w:tcPr>
            <w:tcW w:w="2288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5.66 m</w:t>
            </w:r>
            <w:r w:rsidR="005C15EB" w:rsidRPr="005C15EB">
              <w:rPr>
                <w:vertAlign w:val="superscript"/>
                <w:lang w:val="en-US"/>
              </w:rPr>
              <w:t>2</w:t>
            </w:r>
            <w:r w:rsidRPr="005C15EB">
              <w:rPr>
                <w:lang w:val="en-US"/>
              </w:rPr>
              <w:t xml:space="preserve"> /</w:t>
            </w:r>
            <w:proofErr w:type="spellStart"/>
            <w:r w:rsidRPr="005C15EB">
              <w:rPr>
                <w:lang w:val="en-US"/>
              </w:rPr>
              <w:t>Ltr</w:t>
            </w:r>
            <w:proofErr w:type="spellEnd"/>
          </w:p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2</w:t>
            </w:r>
          </w:p>
        </w:tc>
      </w:tr>
      <w:tr w:rsidR="00A476F4" w:rsidRPr="00A476F4" w:rsidTr="00836518">
        <w:trPr>
          <w:trHeight w:hRule="exact" w:val="357"/>
          <w:jc w:val="center"/>
        </w:trPr>
        <w:tc>
          <w:tcPr>
            <w:tcW w:w="2527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b/>
                <w:bCs/>
                <w:lang w:val="en-US"/>
              </w:rPr>
              <w:t>Typical</w:t>
            </w:r>
          </w:p>
        </w:tc>
        <w:tc>
          <w:tcPr>
            <w:tcW w:w="2195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50 microns</w:t>
            </w:r>
          </w:p>
        </w:tc>
        <w:tc>
          <w:tcPr>
            <w:tcW w:w="2288" w:type="dxa"/>
            <w:shd w:val="clear" w:color="auto" w:fill="auto"/>
          </w:tcPr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6.80 m</w:t>
            </w:r>
            <w:r w:rsidR="005C15EB" w:rsidRPr="005C15EB">
              <w:rPr>
                <w:vertAlign w:val="superscript"/>
                <w:lang w:val="en-US"/>
              </w:rPr>
              <w:t>2</w:t>
            </w:r>
            <w:r w:rsidRPr="005C15EB">
              <w:rPr>
                <w:lang w:val="en-US"/>
              </w:rPr>
              <w:t xml:space="preserve"> /</w:t>
            </w:r>
            <w:proofErr w:type="spellStart"/>
            <w:r w:rsidRPr="005C15EB">
              <w:rPr>
                <w:lang w:val="en-US"/>
              </w:rPr>
              <w:t>Ltr</w:t>
            </w:r>
            <w:proofErr w:type="spellEnd"/>
          </w:p>
          <w:p w:rsidR="00A476F4" w:rsidRPr="005C15EB" w:rsidRDefault="00A476F4" w:rsidP="00A476F4">
            <w:pPr>
              <w:rPr>
                <w:lang w:val="en-US"/>
              </w:rPr>
            </w:pPr>
            <w:r w:rsidRPr="005C15EB">
              <w:rPr>
                <w:lang w:val="en-US"/>
              </w:rPr>
              <w:t>2</w:t>
            </w:r>
          </w:p>
        </w:tc>
      </w:tr>
    </w:tbl>
    <w:p w:rsidR="00A476F4" w:rsidRDefault="00A476F4" w:rsidP="00A476F4"/>
    <w:tbl>
      <w:tblPr>
        <w:tblStyle w:val="TableGrid"/>
        <w:tblW w:w="0" w:type="auto"/>
        <w:jc w:val="center"/>
        <w:tblLook w:val="04A0"/>
      </w:tblPr>
      <w:tblGrid>
        <w:gridCol w:w="8301"/>
      </w:tblGrid>
      <w:tr w:rsidR="00A476F4" w:rsidTr="00836518">
        <w:trPr>
          <w:trHeight w:val="257"/>
          <w:jc w:val="center"/>
        </w:trPr>
        <w:tc>
          <w:tcPr>
            <w:tcW w:w="8301" w:type="dxa"/>
          </w:tcPr>
          <w:p w:rsidR="00A476F4" w:rsidRPr="00836518" w:rsidRDefault="00A476F4" w:rsidP="00836518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6"/>
                <w:szCs w:val="26"/>
              </w:rPr>
            </w:pPr>
            <w:r w:rsidRPr="00836518">
              <w:rPr>
                <w:rFonts w:cs="DIN-Bold"/>
                <w:b/>
                <w:bCs/>
                <w:sz w:val="26"/>
                <w:szCs w:val="26"/>
              </w:rPr>
              <w:t>Practical Covering Capacity</w:t>
            </w:r>
          </w:p>
        </w:tc>
      </w:tr>
      <w:tr w:rsidR="00A476F4" w:rsidTr="00836518">
        <w:trPr>
          <w:trHeight w:val="551"/>
          <w:jc w:val="center"/>
        </w:trPr>
        <w:tc>
          <w:tcPr>
            <w:tcW w:w="8301" w:type="dxa"/>
          </w:tcPr>
          <w:p w:rsidR="00A476F4" w:rsidRPr="00836518" w:rsidRDefault="00A476F4" w:rsidP="00836518">
            <w:pPr>
              <w:autoSpaceDE w:val="0"/>
              <w:autoSpaceDN w:val="0"/>
              <w:adjustRightInd w:val="0"/>
              <w:jc w:val="center"/>
            </w:pPr>
            <w:r w:rsidRPr="00836518">
              <w:rPr>
                <w:rFonts w:cs="DIN-Regular"/>
              </w:rPr>
              <w:t>For estimation of practical covering capacity, following factors to be taken into account: surface profile, uneven application, over spray, losses in container and equipment etc.</w:t>
            </w:r>
          </w:p>
        </w:tc>
      </w:tr>
    </w:tbl>
    <w:tbl>
      <w:tblPr>
        <w:tblpPr w:leftFromText="180" w:rightFromText="180" w:vertAnchor="text" w:horzAnchor="margin" w:tblpXSpec="center" w:tblpY="474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701"/>
        <w:gridCol w:w="1417"/>
        <w:gridCol w:w="1701"/>
        <w:gridCol w:w="1276"/>
      </w:tblGrid>
      <w:tr w:rsidR="00836518" w:rsidRPr="00836518" w:rsidTr="00836518">
        <w:trPr>
          <w:trHeight w:hRule="exact" w:val="302"/>
        </w:trPr>
        <w:tc>
          <w:tcPr>
            <w:tcW w:w="1423" w:type="dxa"/>
            <w:vMerge w:val="restart"/>
            <w:shd w:val="clear" w:color="auto" w:fill="auto"/>
          </w:tcPr>
          <w:p w:rsidR="00836518" w:rsidRPr="00836518" w:rsidRDefault="00836518" w:rsidP="00836518">
            <w:pPr>
              <w:spacing w:before="2" w:after="0" w:line="170" w:lineRule="exact"/>
              <w:jc w:val="center"/>
              <w:rPr>
                <w:sz w:val="17"/>
                <w:szCs w:val="17"/>
              </w:rPr>
            </w:pPr>
          </w:p>
          <w:p w:rsidR="00836518" w:rsidRPr="00836518" w:rsidRDefault="00836518" w:rsidP="00836518">
            <w:pPr>
              <w:spacing w:after="0" w:line="200" w:lineRule="exact"/>
              <w:rPr>
                <w:sz w:val="20"/>
                <w:szCs w:val="20"/>
              </w:rPr>
            </w:pPr>
          </w:p>
          <w:p w:rsidR="00836518" w:rsidRPr="00836518" w:rsidRDefault="00836518" w:rsidP="00836518">
            <w:pPr>
              <w:spacing w:after="0" w:line="200" w:lineRule="exact"/>
              <w:rPr>
                <w:sz w:val="20"/>
                <w:szCs w:val="20"/>
              </w:rPr>
            </w:pPr>
          </w:p>
          <w:p w:rsidR="00836518" w:rsidRPr="00836518" w:rsidRDefault="00836518" w:rsidP="00836518">
            <w:pPr>
              <w:spacing w:after="0" w:line="240" w:lineRule="auto"/>
              <w:ind w:left="72" w:right="-20"/>
              <w:rPr>
                <w:rFonts w:eastAsia="DIN" w:cs="DIN"/>
                <w:sz w:val="20"/>
                <w:szCs w:val="20"/>
              </w:rPr>
            </w:pP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Drying time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6518" w:rsidRPr="00836518" w:rsidRDefault="00836518" w:rsidP="00836518">
            <w:pPr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</w:rPr>
            </w:pP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Sub</w:t>
            </w:r>
            <w:r w:rsidRPr="00836518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</w:rPr>
              <w:t>s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t</w:t>
            </w:r>
            <w:r w:rsidRPr="00836518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</w:rPr>
              <w:t>r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a</w:t>
            </w:r>
            <w:r w:rsidRPr="00836518">
              <w:rPr>
                <w:rFonts w:eastAsia="DIN" w:cs="DIN"/>
                <w:b/>
                <w:bCs/>
                <w:color w:val="231F20"/>
                <w:spacing w:val="-1"/>
                <w:sz w:val="20"/>
                <w:szCs w:val="20"/>
              </w:rPr>
              <w:t>t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 xml:space="preserve">e </w:t>
            </w:r>
            <w:r w:rsidRPr="00836518">
              <w:rPr>
                <w:rFonts w:eastAsia="DIN" w:cs="DIN"/>
                <w:b/>
                <w:bCs/>
                <w:color w:val="231F20"/>
                <w:spacing w:val="-13"/>
                <w:sz w:val="20"/>
                <w:szCs w:val="20"/>
              </w:rPr>
              <w:t>T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emp.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6518" w:rsidRPr="00836518" w:rsidRDefault="00836518" w:rsidP="00836518">
            <w:pPr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</w:rPr>
            </w:pPr>
            <w:r w:rsidRPr="00836518">
              <w:rPr>
                <w:rFonts w:eastAsia="DIN" w:cs="DIN"/>
                <w:b/>
                <w:bCs/>
                <w:color w:val="231F20"/>
                <w:spacing w:val="-13"/>
                <w:sz w:val="20"/>
                <w:szCs w:val="20"/>
              </w:rPr>
              <w:t>T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ouch Dry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36518" w:rsidRPr="00836518" w:rsidRDefault="00836518" w:rsidP="00836518">
            <w:pPr>
              <w:spacing w:before="12" w:after="0" w:line="240" w:lineRule="auto"/>
              <w:ind w:left="1089" w:right="-20"/>
              <w:rPr>
                <w:rFonts w:eastAsia="DIN" w:cs="DIN"/>
                <w:sz w:val="20"/>
                <w:szCs w:val="20"/>
              </w:rPr>
            </w:pPr>
            <w:proofErr w:type="spellStart"/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O</w:t>
            </w:r>
            <w:r w:rsidRPr="00836518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</w:rPr>
              <w:t>v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e</w:t>
            </w:r>
            <w:r w:rsidRPr="00836518">
              <w:rPr>
                <w:rFonts w:eastAsia="DIN" w:cs="DIN"/>
                <w:b/>
                <w:bCs/>
                <w:color w:val="231F20"/>
                <w:spacing w:val="-6"/>
                <w:sz w:val="20"/>
                <w:szCs w:val="20"/>
              </w:rPr>
              <w:t>r</w:t>
            </w:r>
            <w:r w:rsidRPr="00836518">
              <w:rPr>
                <w:rFonts w:eastAsia="DIN" w:cs="DIN"/>
                <w:b/>
                <w:bCs/>
                <w:color w:val="231F20"/>
                <w:spacing w:val="-4"/>
                <w:sz w:val="20"/>
                <w:szCs w:val="20"/>
              </w:rPr>
              <w:t>c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oating</w:t>
            </w:r>
            <w:proofErr w:type="spellEnd"/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 xml:space="preserve"> In</w:t>
            </w:r>
            <w:r w:rsidRPr="00836518">
              <w:rPr>
                <w:rFonts w:eastAsia="DIN" w:cs="DIN"/>
                <w:b/>
                <w:bCs/>
                <w:color w:val="231F20"/>
                <w:spacing w:val="-1"/>
                <w:sz w:val="20"/>
                <w:szCs w:val="20"/>
              </w:rPr>
              <w:t>t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er</w:t>
            </w:r>
            <w:r w:rsidRPr="00836518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</w:rPr>
              <w:t>v</w:t>
            </w: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al</w:t>
            </w:r>
          </w:p>
        </w:tc>
      </w:tr>
      <w:tr w:rsidR="00836518" w:rsidRPr="00836518" w:rsidTr="00836518">
        <w:trPr>
          <w:trHeight w:hRule="exact" w:val="302"/>
        </w:trPr>
        <w:tc>
          <w:tcPr>
            <w:tcW w:w="1423" w:type="dxa"/>
            <w:vMerge/>
            <w:shd w:val="clear" w:color="auto" w:fill="auto"/>
          </w:tcPr>
          <w:p w:rsidR="00836518" w:rsidRPr="00836518" w:rsidRDefault="00836518" w:rsidP="00836518"/>
        </w:tc>
        <w:tc>
          <w:tcPr>
            <w:tcW w:w="1701" w:type="dxa"/>
            <w:vMerge/>
            <w:shd w:val="clear" w:color="auto" w:fill="auto"/>
          </w:tcPr>
          <w:p w:rsidR="00836518" w:rsidRPr="00836518" w:rsidRDefault="00836518" w:rsidP="00836518"/>
        </w:tc>
        <w:tc>
          <w:tcPr>
            <w:tcW w:w="1417" w:type="dxa"/>
            <w:vMerge/>
            <w:shd w:val="clear" w:color="auto" w:fill="auto"/>
          </w:tcPr>
          <w:p w:rsidR="00836518" w:rsidRPr="00836518" w:rsidRDefault="00836518" w:rsidP="00836518"/>
        </w:tc>
        <w:tc>
          <w:tcPr>
            <w:tcW w:w="1701" w:type="dxa"/>
            <w:shd w:val="clear" w:color="auto" w:fill="auto"/>
          </w:tcPr>
          <w:p w:rsidR="00836518" w:rsidRPr="00836518" w:rsidRDefault="00836518" w:rsidP="00836518">
            <w:pPr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</w:rPr>
            </w:pP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Minimum</w:t>
            </w:r>
          </w:p>
        </w:tc>
        <w:tc>
          <w:tcPr>
            <w:tcW w:w="1276" w:type="dxa"/>
            <w:shd w:val="clear" w:color="auto" w:fill="auto"/>
          </w:tcPr>
          <w:p w:rsidR="00836518" w:rsidRPr="00836518" w:rsidRDefault="00836518" w:rsidP="00836518">
            <w:pPr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</w:rPr>
            </w:pPr>
            <w:r w:rsidRPr="00836518">
              <w:rPr>
                <w:rFonts w:eastAsia="DIN" w:cs="DIN"/>
                <w:b/>
                <w:bCs/>
                <w:color w:val="231F20"/>
                <w:sz w:val="20"/>
                <w:szCs w:val="20"/>
              </w:rPr>
              <w:t>Maximum</w:t>
            </w:r>
          </w:p>
        </w:tc>
      </w:tr>
      <w:tr w:rsidR="00836518" w:rsidRPr="00836518" w:rsidTr="00836518">
        <w:trPr>
          <w:trHeight w:hRule="exact" w:val="357"/>
        </w:trPr>
        <w:tc>
          <w:tcPr>
            <w:tcW w:w="1423" w:type="dxa"/>
            <w:vMerge/>
            <w:shd w:val="clear" w:color="auto" w:fill="auto"/>
          </w:tcPr>
          <w:p w:rsidR="00836518" w:rsidRPr="00836518" w:rsidRDefault="00836518" w:rsidP="00836518"/>
        </w:tc>
        <w:tc>
          <w:tcPr>
            <w:tcW w:w="1701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w w:val="103"/>
                <w:sz w:val="20"/>
                <w:szCs w:val="20"/>
              </w:rPr>
              <w:t>25°C</w:t>
            </w:r>
          </w:p>
        </w:tc>
        <w:tc>
          <w:tcPr>
            <w:tcW w:w="1417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3</w:t>
            </w:r>
            <w:r w:rsidRPr="00836518">
              <w:rPr>
                <w:rFonts w:eastAsia="DIN-RegularAlternate" w:cs="DIN-RegularAlternate"/>
                <w:color w:val="231F20"/>
                <w:spacing w:val="1"/>
                <w:sz w:val="20"/>
                <w:szCs w:val="20"/>
              </w:rPr>
              <w:t xml:space="preserve"> 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hou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r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24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 xml:space="preserve"> 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Hou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r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Indefini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t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e</w:t>
            </w:r>
          </w:p>
        </w:tc>
      </w:tr>
      <w:tr w:rsidR="00836518" w:rsidRPr="00836518" w:rsidTr="00836518">
        <w:trPr>
          <w:trHeight w:hRule="exact" w:val="357"/>
        </w:trPr>
        <w:tc>
          <w:tcPr>
            <w:tcW w:w="1423" w:type="dxa"/>
            <w:vMerge/>
            <w:shd w:val="clear" w:color="auto" w:fill="auto"/>
          </w:tcPr>
          <w:p w:rsidR="00836518" w:rsidRPr="00836518" w:rsidRDefault="00836518" w:rsidP="00836518"/>
        </w:tc>
        <w:tc>
          <w:tcPr>
            <w:tcW w:w="1701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w w:val="102"/>
                <w:sz w:val="20"/>
                <w:szCs w:val="20"/>
              </w:rPr>
              <w:t>35°C</w:t>
            </w:r>
          </w:p>
        </w:tc>
        <w:tc>
          <w:tcPr>
            <w:tcW w:w="1417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2</w:t>
            </w:r>
            <w:r w:rsidRPr="00836518">
              <w:rPr>
                <w:rFonts w:eastAsia="DIN-RegularAlternate" w:cs="DIN-RegularAlternate"/>
                <w:color w:val="231F20"/>
                <w:spacing w:val="3"/>
                <w:sz w:val="20"/>
                <w:szCs w:val="20"/>
              </w:rPr>
              <w:t xml:space="preserve"> 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hou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r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18</w:t>
            </w:r>
            <w:r w:rsidRPr="00836518">
              <w:rPr>
                <w:rFonts w:eastAsia="DIN-RegularAlternate" w:cs="DIN-RegularAlternate"/>
                <w:color w:val="231F20"/>
                <w:spacing w:val="26"/>
                <w:sz w:val="20"/>
                <w:szCs w:val="20"/>
              </w:rPr>
              <w:t xml:space="preserve"> 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Hou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r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Indefini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t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e</w:t>
            </w:r>
          </w:p>
        </w:tc>
      </w:tr>
      <w:tr w:rsidR="00836518" w:rsidRPr="00836518" w:rsidTr="00836518">
        <w:trPr>
          <w:trHeight w:hRule="exact" w:val="357"/>
        </w:trPr>
        <w:tc>
          <w:tcPr>
            <w:tcW w:w="1423" w:type="dxa"/>
            <w:vMerge/>
            <w:shd w:val="clear" w:color="auto" w:fill="auto"/>
          </w:tcPr>
          <w:p w:rsidR="00836518" w:rsidRPr="00836518" w:rsidRDefault="00836518" w:rsidP="00836518"/>
        </w:tc>
        <w:tc>
          <w:tcPr>
            <w:tcW w:w="1701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w w:val="101"/>
                <w:sz w:val="20"/>
                <w:szCs w:val="20"/>
              </w:rPr>
              <w:t>45°C</w:t>
            </w:r>
          </w:p>
        </w:tc>
        <w:tc>
          <w:tcPr>
            <w:tcW w:w="1417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w w:val="139"/>
                <w:sz w:val="20"/>
                <w:szCs w:val="20"/>
              </w:rPr>
              <w:t>1</w:t>
            </w:r>
            <w:r w:rsidRPr="00836518">
              <w:rPr>
                <w:rFonts w:eastAsia="DIN-RegularAlternate" w:cs="DIN-RegularAlternate"/>
                <w:color w:val="231F20"/>
                <w:spacing w:val="-19"/>
                <w:w w:val="139"/>
                <w:sz w:val="20"/>
                <w:szCs w:val="20"/>
              </w:rPr>
              <w:t xml:space="preserve"> 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hour</w:t>
            </w:r>
          </w:p>
        </w:tc>
        <w:tc>
          <w:tcPr>
            <w:tcW w:w="1701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12</w:t>
            </w:r>
            <w:r w:rsidRPr="00836518">
              <w:rPr>
                <w:rFonts w:eastAsia="DIN-RegularAlternate" w:cs="DIN-RegularAlternate"/>
                <w:color w:val="231F20"/>
                <w:spacing w:val="32"/>
                <w:sz w:val="20"/>
                <w:szCs w:val="20"/>
              </w:rPr>
              <w:t xml:space="preserve"> 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Hou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r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836518" w:rsidRPr="00836518" w:rsidRDefault="00836518" w:rsidP="00836518">
            <w:pPr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</w:rPr>
            </w:pP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Indefini</w:t>
            </w:r>
            <w:r w:rsidRPr="00836518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</w:rPr>
              <w:t>t</w:t>
            </w:r>
            <w:r w:rsidRPr="00836518">
              <w:rPr>
                <w:rFonts w:eastAsia="DIN-RegularAlternate" w:cs="DIN-RegularAlternate"/>
                <w:color w:val="231F20"/>
                <w:sz w:val="20"/>
                <w:szCs w:val="20"/>
              </w:rPr>
              <w:t>e</w:t>
            </w:r>
          </w:p>
        </w:tc>
      </w:tr>
    </w:tbl>
    <w:p w:rsidR="00A476F4" w:rsidRDefault="00A476F4" w:rsidP="00A476F4"/>
    <w:p w:rsidR="00A476F4" w:rsidRDefault="00A476F4" w:rsidP="00A476F4"/>
    <w:p w:rsidR="00A476F4" w:rsidRDefault="00A476F4" w:rsidP="00A476F4"/>
    <w:p w:rsidR="00A476F4" w:rsidRDefault="00A476F4" w:rsidP="00A476F4"/>
    <w:p w:rsidR="00A476F4" w:rsidRDefault="00A476F4" w:rsidP="00A476F4"/>
    <w:p w:rsidR="00C85CE3" w:rsidRDefault="00C85CE3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836518">
        <w:rPr>
          <w:rFonts w:cs="DIN-Bold"/>
          <w:b/>
          <w:bCs/>
          <w:sz w:val="26"/>
          <w:szCs w:val="26"/>
        </w:rPr>
        <w:t>Application Data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Bold"/>
          <w:b/>
          <w:bCs/>
        </w:rPr>
        <w:t xml:space="preserve">Method of application: </w:t>
      </w:r>
      <w:r w:rsidRPr="00836518">
        <w:rPr>
          <w:rFonts w:cs="DIN-Regular"/>
        </w:rPr>
        <w:t>Brush, Roller or Spray application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Bold"/>
          <w:b/>
          <w:bCs/>
        </w:rPr>
        <w:t xml:space="preserve">Thinner: </w:t>
      </w:r>
      <w:r w:rsidRPr="00836518">
        <w:rPr>
          <w:rFonts w:cs="DIN-Regular"/>
        </w:rPr>
        <w:t>Sweet water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Bold"/>
          <w:b/>
          <w:bCs/>
        </w:rPr>
        <w:t>Thinning ratio (by vol.</w:t>
      </w:r>
      <w:proofErr w:type="gramStart"/>
      <w:r w:rsidRPr="00836518">
        <w:rPr>
          <w:rFonts w:cs="DIN-Bold"/>
          <w:b/>
          <w:bCs/>
        </w:rPr>
        <w:t>) :</w:t>
      </w:r>
      <w:proofErr w:type="gramEnd"/>
      <w:r w:rsidRPr="00836518">
        <w:rPr>
          <w:rFonts w:cs="DIN-Bold"/>
          <w:b/>
          <w:bCs/>
        </w:rPr>
        <w:t xml:space="preserve"> </w:t>
      </w:r>
      <w:r w:rsidRPr="00836518">
        <w:rPr>
          <w:rFonts w:cs="DIN-Regular"/>
        </w:rPr>
        <w:t>Use 5% maximum for ease of application depending on the method of application.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C85CE3" w:rsidRDefault="00C85CE3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C85CE3" w:rsidRDefault="00C85CE3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F43CE1" w:rsidRDefault="00F43CE1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C85CE3" w:rsidRDefault="00C85CE3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7772A9" w:rsidRDefault="007772A9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>
        <w:rPr>
          <w:rFonts w:cs="DIN-Bold"/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238760</wp:posOffset>
            </wp:positionV>
            <wp:extent cx="7550785" cy="488950"/>
            <wp:effectExtent l="19050" t="0" r="0" b="0"/>
            <wp:wrapTight wrapText="bothSides">
              <wp:wrapPolygon edited="0">
                <wp:start x="-54" y="0"/>
                <wp:lineTo x="-54" y="21039"/>
                <wp:lineTo x="21580" y="21039"/>
                <wp:lineTo x="21580" y="0"/>
                <wp:lineTo x="-54" y="0"/>
              </wp:wrapPolygon>
            </wp:wrapTight>
            <wp:docPr id="1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518" w:rsidRPr="00836518" w:rsidRDefault="007772A9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>
        <w:rPr>
          <w:rFonts w:cs="DIN-Bold"/>
          <w:b/>
          <w:bCs/>
          <w:noProof/>
          <w:sz w:val="26"/>
          <w:szCs w:val="26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-459105</wp:posOffset>
            </wp:positionH>
            <wp:positionV relativeFrom="margin">
              <wp:posOffset>-457200</wp:posOffset>
            </wp:positionV>
            <wp:extent cx="7576185" cy="1690370"/>
            <wp:effectExtent l="19050" t="0" r="5715" b="0"/>
            <wp:wrapSquare wrapText="bothSides"/>
            <wp:docPr id="3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518" w:rsidRPr="00836518">
        <w:rPr>
          <w:rFonts w:cs="DIN-Bold"/>
          <w:b/>
          <w:bCs/>
          <w:sz w:val="26"/>
          <w:szCs w:val="26"/>
        </w:rPr>
        <w:t>Surface Preparation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The performance of this coating is directly related to the degree of surface preparation.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• Ensure surface is clean, dry and free from all contaminants.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• Surface must be sound and free from laitance.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• Remove laitance by wire brush or sweep blast.</w:t>
      </w:r>
    </w:p>
    <w:p w:rsidR="00A476F4" w:rsidRPr="00836518" w:rsidRDefault="00836518" w:rsidP="00836518">
      <w:pPr>
        <w:autoSpaceDE w:val="0"/>
        <w:autoSpaceDN w:val="0"/>
        <w:adjustRightInd w:val="0"/>
        <w:spacing w:after="0" w:line="240" w:lineRule="auto"/>
      </w:pPr>
      <w:proofErr w:type="gramStart"/>
      <w:r w:rsidRPr="00836518">
        <w:rPr>
          <w:rFonts w:cs="DIN-Regular"/>
        </w:rPr>
        <w:t>Note :</w:t>
      </w:r>
      <w:proofErr w:type="gramEnd"/>
      <w:r w:rsidRPr="00836518">
        <w:rPr>
          <w:rFonts w:cs="DIN-Regular"/>
        </w:rPr>
        <w:t xml:space="preserve"> Fungal growth should be treated with Bison Fungicidal Solution. After drying one coat </w:t>
      </w:r>
      <w:proofErr w:type="spellStart"/>
      <w:r w:rsidRPr="00836518">
        <w:rPr>
          <w:rFonts w:cs="DIN-Regular"/>
        </w:rPr>
        <w:t>Plastaseal</w:t>
      </w:r>
      <w:proofErr w:type="spellEnd"/>
      <w:r w:rsidRPr="00836518">
        <w:rPr>
          <w:rFonts w:cs="DIN-Regular"/>
        </w:rPr>
        <w:t xml:space="preserve"> Penetrating Sealer should be applied.</w:t>
      </w:r>
    </w:p>
    <w:p w:rsidR="00C85CE3" w:rsidRDefault="00C85CE3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836518">
        <w:rPr>
          <w:rFonts w:cs="DIN-Bold"/>
          <w:b/>
          <w:bCs/>
          <w:sz w:val="26"/>
          <w:szCs w:val="26"/>
        </w:rPr>
        <w:t>Application Details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• Ensure adequate ventilation during application and drying.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• Do not apply when humidity exceeds 85% and condensation is likely.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• Surface temperature should be 3°C or more above dew point.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Regular"/>
        </w:rPr>
        <w:t>• Stir the contents thoroughly before and during use, with a broad flat stirrer, using an upward lifting action.</w:t>
      </w:r>
    </w:p>
    <w:p w:rsidR="00836518" w:rsidRPr="00836518" w:rsidRDefault="00836518" w:rsidP="008365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836518">
        <w:rPr>
          <w:rFonts w:cs="DIN-Bold"/>
          <w:b/>
          <w:bCs/>
        </w:rPr>
        <w:t xml:space="preserve">Brush or Roller: </w:t>
      </w:r>
      <w:r w:rsidRPr="00836518">
        <w:rPr>
          <w:rFonts w:cs="DIN-Regular"/>
        </w:rPr>
        <w:t>Apply an even coat taking care to avoid runs and sags. Minimum two coats recommended.</w:t>
      </w:r>
    </w:p>
    <w:p w:rsidR="00836518" w:rsidRDefault="00836518" w:rsidP="00836518">
      <w:pPr>
        <w:rPr>
          <w:rFonts w:cs="DIN-Regular"/>
        </w:rPr>
      </w:pPr>
      <w:r w:rsidRPr="00836518">
        <w:rPr>
          <w:rFonts w:cs="DIN-Bold"/>
          <w:b/>
          <w:bCs/>
        </w:rPr>
        <w:t xml:space="preserve">Conventional Spray: </w:t>
      </w:r>
      <w:r w:rsidRPr="00836518">
        <w:rPr>
          <w:rFonts w:cs="DIN-Regular"/>
        </w:rPr>
        <w:t>Use normal spray equipment</w:t>
      </w:r>
    </w:p>
    <w:tbl>
      <w:tblPr>
        <w:tblStyle w:val="TableGrid"/>
        <w:tblW w:w="0" w:type="auto"/>
        <w:jc w:val="center"/>
        <w:tblLook w:val="04A0"/>
      </w:tblPr>
      <w:tblGrid>
        <w:gridCol w:w="6752"/>
      </w:tblGrid>
      <w:tr w:rsidR="00836518" w:rsidTr="00836518">
        <w:trPr>
          <w:trHeight w:val="293"/>
          <w:jc w:val="center"/>
        </w:trPr>
        <w:tc>
          <w:tcPr>
            <w:tcW w:w="6752" w:type="dxa"/>
          </w:tcPr>
          <w:p w:rsidR="00836518" w:rsidRPr="00836518" w:rsidRDefault="00836518" w:rsidP="00836518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6"/>
                <w:szCs w:val="26"/>
              </w:rPr>
            </w:pPr>
            <w:r w:rsidRPr="00836518">
              <w:rPr>
                <w:rFonts w:cs="DIN-Bold"/>
                <w:b/>
                <w:bCs/>
                <w:sz w:val="26"/>
                <w:szCs w:val="26"/>
              </w:rPr>
              <w:t>TYPICAL PAINT SYSTEM</w:t>
            </w:r>
          </w:p>
        </w:tc>
      </w:tr>
      <w:tr w:rsidR="00836518" w:rsidTr="00836518">
        <w:trPr>
          <w:trHeight w:val="260"/>
          <w:jc w:val="center"/>
        </w:trPr>
        <w:tc>
          <w:tcPr>
            <w:tcW w:w="6752" w:type="dxa"/>
          </w:tcPr>
          <w:p w:rsidR="00836518" w:rsidRPr="00836518" w:rsidRDefault="00836518" w:rsidP="00B17CCF">
            <w:pPr>
              <w:autoSpaceDE w:val="0"/>
              <w:autoSpaceDN w:val="0"/>
              <w:adjustRightInd w:val="0"/>
              <w:jc w:val="center"/>
              <w:rPr>
                <w:rFonts w:cs="DIN-Regular"/>
              </w:rPr>
            </w:pPr>
            <w:r w:rsidRPr="00836518">
              <w:rPr>
                <w:rFonts w:cs="DIN-Regular"/>
              </w:rPr>
              <w:t xml:space="preserve">1 Coat x </w:t>
            </w:r>
            <w:r w:rsidR="00B17CCF">
              <w:rPr>
                <w:rFonts w:cs="DIN-Regular"/>
              </w:rPr>
              <w:t xml:space="preserve">Berger </w:t>
            </w:r>
            <w:r w:rsidR="00813C37">
              <w:rPr>
                <w:rFonts w:cs="DIN-Regular"/>
              </w:rPr>
              <w:t xml:space="preserve">Value </w:t>
            </w:r>
            <w:r w:rsidR="00B17CCF">
              <w:rPr>
                <w:rFonts w:cs="DIN-Regular"/>
              </w:rPr>
              <w:t>PVA Primer/Berger</w:t>
            </w:r>
            <w:r w:rsidRPr="00836518">
              <w:rPr>
                <w:rFonts w:cs="DIN-Regular"/>
              </w:rPr>
              <w:t xml:space="preserve"> AR Primer</w:t>
            </w:r>
          </w:p>
        </w:tc>
      </w:tr>
      <w:tr w:rsidR="00836518" w:rsidTr="00836518">
        <w:trPr>
          <w:trHeight w:val="245"/>
          <w:jc w:val="center"/>
        </w:trPr>
        <w:tc>
          <w:tcPr>
            <w:tcW w:w="6752" w:type="dxa"/>
          </w:tcPr>
          <w:p w:rsidR="00836518" w:rsidRPr="00836518" w:rsidRDefault="00836518" w:rsidP="00B17CCF">
            <w:pPr>
              <w:autoSpaceDE w:val="0"/>
              <w:autoSpaceDN w:val="0"/>
              <w:adjustRightInd w:val="0"/>
              <w:jc w:val="center"/>
              <w:rPr>
                <w:rFonts w:cs="DIN-Regular"/>
              </w:rPr>
            </w:pPr>
            <w:r w:rsidRPr="00836518">
              <w:rPr>
                <w:rFonts w:cs="DIN-Regular"/>
              </w:rPr>
              <w:t xml:space="preserve">2 Coats x </w:t>
            </w:r>
            <w:r w:rsidR="00B17CCF">
              <w:rPr>
                <w:rFonts w:cs="DIN-Regular"/>
              </w:rPr>
              <w:t xml:space="preserve">Berger Value </w:t>
            </w:r>
            <w:r w:rsidRPr="00836518">
              <w:rPr>
                <w:rFonts w:cs="DIN-Regular"/>
              </w:rPr>
              <w:t>Stucco</w:t>
            </w:r>
          </w:p>
        </w:tc>
      </w:tr>
      <w:tr w:rsidR="00836518" w:rsidTr="00836518">
        <w:trPr>
          <w:trHeight w:val="277"/>
          <w:jc w:val="center"/>
        </w:trPr>
        <w:tc>
          <w:tcPr>
            <w:tcW w:w="6752" w:type="dxa"/>
          </w:tcPr>
          <w:p w:rsidR="00836518" w:rsidRPr="00836518" w:rsidRDefault="00836518" w:rsidP="00B17CCF">
            <w:pPr>
              <w:jc w:val="center"/>
            </w:pPr>
            <w:r w:rsidRPr="00836518">
              <w:rPr>
                <w:rFonts w:cs="DIN-Regular"/>
              </w:rPr>
              <w:t xml:space="preserve">2 Coats x </w:t>
            </w:r>
            <w:r w:rsidR="0048305D">
              <w:rPr>
                <w:rFonts w:cs="DIN-Regular"/>
              </w:rPr>
              <w:t xml:space="preserve">Berger </w:t>
            </w:r>
            <w:r w:rsidR="00B17CCF">
              <w:rPr>
                <w:rFonts w:cs="DIN-Regular"/>
              </w:rPr>
              <w:t xml:space="preserve">Select </w:t>
            </w:r>
            <w:r w:rsidRPr="00836518">
              <w:rPr>
                <w:rFonts w:cs="DIN-Regular"/>
              </w:rPr>
              <w:t>Eggshell Matt Emulsion</w:t>
            </w:r>
          </w:p>
        </w:tc>
      </w:tr>
    </w:tbl>
    <w:p w:rsid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296C18">
        <w:rPr>
          <w:rFonts w:cs="DIN-Bold"/>
          <w:b/>
          <w:bCs/>
          <w:sz w:val="26"/>
          <w:szCs w:val="26"/>
        </w:rPr>
        <w:t xml:space="preserve">Storage, Safety Information </w:t>
      </w:r>
      <w:r>
        <w:rPr>
          <w:rFonts w:cs="DIN-Bold"/>
          <w:b/>
          <w:bCs/>
          <w:sz w:val="26"/>
          <w:szCs w:val="26"/>
        </w:rPr>
        <w:t>a</w:t>
      </w:r>
      <w:r w:rsidRPr="00296C18">
        <w:rPr>
          <w:rFonts w:cs="DIN-Bold"/>
          <w:b/>
          <w:bCs/>
          <w:sz w:val="26"/>
          <w:szCs w:val="26"/>
        </w:rPr>
        <w:t>nd Precautions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Keep out of reach of children.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Store in cool, dry conditions; ensure adequate ventilation during application.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Avoid contact with skin and eyes; wear suitable protective clothing such as overalls, goggles, dust masks and gloves.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Shelf life up to 12 month is from the date of manufacture.</w:t>
      </w:r>
    </w:p>
    <w:p w:rsid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296C18">
        <w:rPr>
          <w:rFonts w:cs="DIN-Bold"/>
          <w:b/>
          <w:bCs/>
          <w:sz w:val="26"/>
          <w:szCs w:val="26"/>
        </w:rPr>
        <w:t>First-Aid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Eyes: In the event of accidental splashes, flush eyes immediately with warm water and obtain medical advice.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Skin: Wash skin thoroughly with soap and water, or with an approved industrial cleaner. Do not use solvents.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Inhalation: Move patient to fresh air, loosen collar and keep patient rested.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Ingestion: Do not induce vomiting. Obtain immediate medical attention.</w:t>
      </w: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"/>
        </w:rPr>
      </w:pPr>
      <w:r w:rsidRPr="00296C18">
        <w:rPr>
          <w:rFonts w:cs="DIN-Regular"/>
        </w:rPr>
        <w:t>• Dispose in landfill only.</w:t>
      </w:r>
    </w:p>
    <w:p w:rsid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</w:rPr>
      </w:pPr>
    </w:p>
    <w:p w:rsidR="00296C18" w:rsidRPr="00296C18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</w:rPr>
      </w:pPr>
      <w:r w:rsidRPr="00296C18">
        <w:rPr>
          <w:rFonts w:cs="DIN-Bold"/>
          <w:b/>
          <w:bCs/>
          <w:sz w:val="26"/>
          <w:szCs w:val="26"/>
        </w:rPr>
        <w:t>Disclaimer</w:t>
      </w:r>
    </w:p>
    <w:p w:rsidR="00C85CE3" w:rsidRDefault="00296C18" w:rsidP="00296C18">
      <w:pPr>
        <w:autoSpaceDE w:val="0"/>
        <w:autoSpaceDN w:val="0"/>
        <w:adjustRightInd w:val="0"/>
        <w:spacing w:after="0" w:line="240" w:lineRule="auto"/>
        <w:rPr>
          <w:rFonts w:cs="DIN-RegularItalic"/>
          <w:i/>
          <w:iCs/>
        </w:rPr>
      </w:pPr>
      <w:r w:rsidRPr="00296C18">
        <w:rPr>
          <w:rFonts w:cs="DIN-RegularItalic"/>
          <w:i/>
          <w:iCs/>
        </w:rPr>
        <w:t>The information provided in this data sheet is not intended to be complete. It is the responsibility of the user to ensure that the</w:t>
      </w:r>
      <w:r>
        <w:rPr>
          <w:rFonts w:cs="DIN-RegularItalic"/>
          <w:i/>
          <w:iCs/>
        </w:rPr>
        <w:t xml:space="preserve"> </w:t>
      </w:r>
      <w:r w:rsidRPr="00296C18">
        <w:rPr>
          <w:rFonts w:cs="DIN-RegularItalic"/>
          <w:i/>
          <w:iCs/>
        </w:rPr>
        <w:t>product used is suitable for the purpose it is meant to serve. In view of various factors affecting the performance of the coating,</w:t>
      </w:r>
      <w:r>
        <w:rPr>
          <w:rFonts w:cs="DIN-RegularItalic"/>
          <w:i/>
          <w:iCs/>
        </w:rPr>
        <w:t xml:space="preserve"> </w:t>
      </w:r>
      <w:r w:rsidRPr="00296C18">
        <w:rPr>
          <w:rFonts w:cs="DIN-RegularItalic"/>
          <w:i/>
          <w:iCs/>
        </w:rPr>
        <w:t>we cannot assume responsibility for the product performance, nor do we accept any liability arising from use of this product,</w:t>
      </w:r>
      <w:r>
        <w:rPr>
          <w:rFonts w:cs="DIN-RegularItalic"/>
          <w:i/>
          <w:iCs/>
        </w:rPr>
        <w:t xml:space="preserve"> </w:t>
      </w:r>
      <w:r w:rsidRPr="00296C18">
        <w:rPr>
          <w:rFonts w:cs="DIN-RegularItalic"/>
          <w:i/>
          <w:iCs/>
        </w:rPr>
        <w:t>unless specifically agreed to in writing by us. The information provided in the data sheet may be modified by us without notice.</w:t>
      </w:r>
    </w:p>
    <w:p w:rsidR="00C85CE3" w:rsidRDefault="00C85CE3" w:rsidP="00296C18">
      <w:pPr>
        <w:autoSpaceDE w:val="0"/>
        <w:autoSpaceDN w:val="0"/>
        <w:adjustRightInd w:val="0"/>
        <w:spacing w:after="0" w:line="240" w:lineRule="auto"/>
        <w:rPr>
          <w:rFonts w:cs="DIN-RegularItalic"/>
          <w:i/>
          <w:iCs/>
        </w:rPr>
      </w:pPr>
    </w:p>
    <w:p w:rsidR="00836518" w:rsidRPr="00296C18" w:rsidRDefault="00C85CE3" w:rsidP="00296C18">
      <w:pPr>
        <w:autoSpaceDE w:val="0"/>
        <w:autoSpaceDN w:val="0"/>
        <w:adjustRightInd w:val="0"/>
        <w:spacing w:after="0" w:line="240" w:lineRule="auto"/>
        <w:rPr>
          <w:rFonts w:cs="DIN-RegularItalic"/>
          <w:i/>
          <w:iCs/>
        </w:rPr>
      </w:pPr>
      <w:r w:rsidRPr="00C85CE3">
        <w:rPr>
          <w:rFonts w:cs="DIN-Bold"/>
          <w:b/>
          <w:bCs/>
          <w:sz w:val="26"/>
          <w:szCs w:val="26"/>
        </w:rPr>
        <w:t xml:space="preserve"> </w:t>
      </w:r>
      <w:r w:rsidRPr="00C85CE3">
        <w:rPr>
          <w:rFonts w:cs="DIN-RegularItalic"/>
          <w:i/>
          <w:iCs/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1164856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6518" w:rsidRPr="00296C18" w:rsidSect="00836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Altern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76F4"/>
    <w:rsid w:val="00296C18"/>
    <w:rsid w:val="00310C3E"/>
    <w:rsid w:val="0048305D"/>
    <w:rsid w:val="005C15EB"/>
    <w:rsid w:val="005E0C57"/>
    <w:rsid w:val="007642F4"/>
    <w:rsid w:val="007772A9"/>
    <w:rsid w:val="00813C37"/>
    <w:rsid w:val="00836518"/>
    <w:rsid w:val="00A476F4"/>
    <w:rsid w:val="00AC71C1"/>
    <w:rsid w:val="00B17CCF"/>
    <w:rsid w:val="00C62C4C"/>
    <w:rsid w:val="00C85CE3"/>
    <w:rsid w:val="00D91882"/>
    <w:rsid w:val="00E034EE"/>
    <w:rsid w:val="00F4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2015-03-31T12:18:00Z</dcterms:created>
  <dcterms:modified xsi:type="dcterms:W3CDTF">2015-07-13T11:24:00Z</dcterms:modified>
</cp:coreProperties>
</file>