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3DF" w:rsidRPr="0054199B" w:rsidRDefault="00F059EE" w:rsidP="008A63DF">
      <w:pPr>
        <w:autoSpaceDE w:val="0"/>
        <w:autoSpaceDN w:val="0"/>
        <w:adjustRightInd w:val="0"/>
        <w:spacing w:after="0" w:line="240" w:lineRule="auto"/>
        <w:jc w:val="center"/>
        <w:rPr>
          <w:rFonts w:cs="DIN-Bold"/>
          <w:b/>
          <w:bCs/>
          <w:sz w:val="28"/>
          <w:szCs w:val="28"/>
        </w:rPr>
      </w:pPr>
      <w:r w:rsidRPr="00F059EE">
        <w:rPr>
          <w:rFonts w:cs="DIN-Bold"/>
          <w:b/>
          <w:bCs/>
          <w:noProof/>
          <w:sz w:val="28"/>
          <w:szCs w:val="28"/>
          <w:lang w:val="en-US"/>
        </w:rPr>
        <w:drawing>
          <wp:anchor distT="0" distB="0" distL="114300" distR="114300" simplePos="0" relativeHeight="251667456" behindDoc="0" locked="0" layoutInCell="1" allowOverlap="1">
            <wp:simplePos x="0" y="0"/>
            <wp:positionH relativeFrom="margin">
              <wp:posOffset>-459415</wp:posOffset>
            </wp:positionH>
            <wp:positionV relativeFrom="margin">
              <wp:posOffset>-457200</wp:posOffset>
            </wp:positionV>
            <wp:extent cx="7573704" cy="1690577"/>
            <wp:effectExtent l="19050" t="0" r="9525" b="0"/>
            <wp:wrapSquare wrapText="bothSides"/>
            <wp:docPr id="2" name="Picture 1" descr="C:\Users\user\Desktop\Spec sheet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Spec sheet Header.jpg"/>
                    <pic:cNvPicPr>
                      <a:picLocks noChangeAspect="1" noChangeArrowheads="1"/>
                    </pic:cNvPicPr>
                  </pic:nvPicPr>
                  <pic:blipFill>
                    <a:blip r:embed="rId4" cstate="print"/>
                    <a:srcRect/>
                    <a:stretch>
                      <a:fillRect/>
                    </a:stretch>
                  </pic:blipFill>
                  <pic:spPr bwMode="auto">
                    <a:xfrm>
                      <a:off x="0" y="0"/>
                      <a:ext cx="7572375" cy="1690370"/>
                    </a:xfrm>
                    <a:prstGeom prst="rect">
                      <a:avLst/>
                    </a:prstGeom>
                    <a:noFill/>
                    <a:ln w="9525">
                      <a:noFill/>
                      <a:miter lim="800000"/>
                      <a:headEnd/>
                      <a:tailEnd/>
                    </a:ln>
                  </pic:spPr>
                </pic:pic>
              </a:graphicData>
            </a:graphic>
          </wp:anchor>
        </w:drawing>
      </w:r>
      <w:r w:rsidR="008A63DF" w:rsidRPr="0054199B">
        <w:rPr>
          <w:rFonts w:cs="DIN-Bold"/>
          <w:b/>
          <w:bCs/>
          <w:sz w:val="28"/>
          <w:szCs w:val="28"/>
        </w:rPr>
        <w:t>ROYALE PLAY GLAZE</w:t>
      </w:r>
    </w:p>
    <w:p w:rsidR="008A63DF" w:rsidRPr="0054199B" w:rsidRDefault="008A63DF" w:rsidP="008A63DF">
      <w:pPr>
        <w:autoSpaceDE w:val="0"/>
        <w:autoSpaceDN w:val="0"/>
        <w:adjustRightInd w:val="0"/>
        <w:spacing w:after="0" w:line="240" w:lineRule="auto"/>
        <w:rPr>
          <w:rFonts w:cs="DIN-Bold"/>
          <w:b/>
          <w:bCs/>
          <w:sz w:val="20"/>
          <w:szCs w:val="20"/>
        </w:rPr>
      </w:pPr>
    </w:p>
    <w:p w:rsidR="008A63DF" w:rsidRPr="0054199B" w:rsidRDefault="008A63DF" w:rsidP="008A63DF">
      <w:pPr>
        <w:autoSpaceDE w:val="0"/>
        <w:autoSpaceDN w:val="0"/>
        <w:adjustRightInd w:val="0"/>
        <w:spacing w:after="0" w:line="240" w:lineRule="auto"/>
        <w:rPr>
          <w:rFonts w:cs="DIN-Bold"/>
          <w:b/>
          <w:bCs/>
          <w:sz w:val="24"/>
          <w:szCs w:val="24"/>
        </w:rPr>
      </w:pPr>
      <w:r w:rsidRPr="0054199B">
        <w:rPr>
          <w:rFonts w:cs="DIN-Bold"/>
          <w:b/>
          <w:bCs/>
          <w:sz w:val="24"/>
          <w:szCs w:val="24"/>
        </w:rPr>
        <w:t>Product Description</w:t>
      </w:r>
    </w:p>
    <w:p w:rsidR="008A63DF" w:rsidRPr="0054199B" w:rsidRDefault="008A63DF" w:rsidP="008A63DF">
      <w:pPr>
        <w:autoSpaceDE w:val="0"/>
        <w:autoSpaceDN w:val="0"/>
        <w:adjustRightInd w:val="0"/>
        <w:spacing w:after="0" w:line="240" w:lineRule="auto"/>
        <w:rPr>
          <w:rFonts w:cs="DIN-Regular"/>
        </w:rPr>
      </w:pPr>
      <w:r w:rsidRPr="0054199B">
        <w:rPr>
          <w:rFonts w:cs="DIN-Regular"/>
        </w:rPr>
        <w:t>Royale Play Glaze is a high quality translucent oil-based paint to be used as a topcoat for making designer finishes such as combing, ragging, colour wash, sponging etc.</w:t>
      </w:r>
    </w:p>
    <w:p w:rsidR="008A63DF" w:rsidRPr="0054199B" w:rsidRDefault="008A63DF" w:rsidP="008A63DF">
      <w:pPr>
        <w:autoSpaceDE w:val="0"/>
        <w:autoSpaceDN w:val="0"/>
        <w:adjustRightInd w:val="0"/>
        <w:spacing w:after="0" w:line="240" w:lineRule="auto"/>
        <w:rPr>
          <w:rFonts w:cs="DIN-Bold"/>
          <w:b/>
          <w:bCs/>
          <w:sz w:val="20"/>
          <w:szCs w:val="20"/>
        </w:rPr>
      </w:pPr>
    </w:p>
    <w:p w:rsidR="008A63DF" w:rsidRPr="0054199B" w:rsidRDefault="008A63DF" w:rsidP="008A63DF">
      <w:pPr>
        <w:autoSpaceDE w:val="0"/>
        <w:autoSpaceDN w:val="0"/>
        <w:adjustRightInd w:val="0"/>
        <w:spacing w:after="0" w:line="240" w:lineRule="auto"/>
        <w:rPr>
          <w:rFonts w:cs="DIN-Bold"/>
          <w:b/>
          <w:bCs/>
          <w:sz w:val="24"/>
          <w:szCs w:val="24"/>
        </w:rPr>
      </w:pPr>
      <w:r w:rsidRPr="0054199B">
        <w:rPr>
          <w:rFonts w:cs="DIN-Bold"/>
          <w:b/>
          <w:bCs/>
          <w:sz w:val="24"/>
          <w:szCs w:val="24"/>
        </w:rPr>
        <w:t>Recommended Areas of Application</w:t>
      </w:r>
    </w:p>
    <w:p w:rsidR="008A63DF" w:rsidRPr="0054199B" w:rsidRDefault="008A63DF" w:rsidP="008A63DF">
      <w:pPr>
        <w:autoSpaceDE w:val="0"/>
        <w:autoSpaceDN w:val="0"/>
        <w:adjustRightInd w:val="0"/>
        <w:spacing w:after="0" w:line="240" w:lineRule="auto"/>
        <w:rPr>
          <w:rFonts w:cs="DIN-Regular"/>
        </w:rPr>
      </w:pPr>
      <w:r w:rsidRPr="0054199B">
        <w:rPr>
          <w:rFonts w:cs="DIN-Bold"/>
          <w:b/>
          <w:bCs/>
        </w:rPr>
        <w:t xml:space="preserve">Area of Use: </w:t>
      </w:r>
      <w:r w:rsidRPr="0054199B">
        <w:rPr>
          <w:rFonts w:cs="DIN-Regular"/>
        </w:rPr>
        <w:t>Interior</w:t>
      </w:r>
    </w:p>
    <w:p w:rsidR="008A63DF" w:rsidRPr="0054199B" w:rsidRDefault="008A63DF" w:rsidP="008A63DF">
      <w:pPr>
        <w:autoSpaceDE w:val="0"/>
        <w:autoSpaceDN w:val="0"/>
        <w:adjustRightInd w:val="0"/>
        <w:spacing w:after="0" w:line="240" w:lineRule="auto"/>
        <w:rPr>
          <w:rFonts w:cs="DIN-Regular"/>
        </w:rPr>
      </w:pPr>
      <w:r w:rsidRPr="0054199B">
        <w:rPr>
          <w:rFonts w:cs="DIN-Bold"/>
          <w:b/>
          <w:bCs/>
        </w:rPr>
        <w:t xml:space="preserve">Substrate: </w:t>
      </w:r>
      <w:r w:rsidRPr="0054199B">
        <w:rPr>
          <w:rFonts w:cs="DIN-Regular"/>
        </w:rPr>
        <w:t>Suitable Concrete, Plaster, Masonry, Gypsum, Timber.</w:t>
      </w:r>
    </w:p>
    <w:p w:rsidR="008A63DF" w:rsidRPr="0054199B" w:rsidRDefault="008A63DF" w:rsidP="008A63DF">
      <w:pPr>
        <w:autoSpaceDE w:val="0"/>
        <w:autoSpaceDN w:val="0"/>
        <w:adjustRightInd w:val="0"/>
        <w:spacing w:after="0" w:line="240" w:lineRule="auto"/>
        <w:rPr>
          <w:rFonts w:cs="DIN-Bold"/>
          <w:b/>
          <w:bCs/>
          <w:sz w:val="20"/>
          <w:szCs w:val="20"/>
        </w:rPr>
      </w:pPr>
    </w:p>
    <w:p w:rsidR="008A63DF" w:rsidRPr="0054199B" w:rsidRDefault="008A63DF" w:rsidP="008A63DF">
      <w:pPr>
        <w:autoSpaceDE w:val="0"/>
        <w:autoSpaceDN w:val="0"/>
        <w:adjustRightInd w:val="0"/>
        <w:spacing w:after="0" w:line="240" w:lineRule="auto"/>
        <w:rPr>
          <w:rFonts w:cs="DIN-Bold"/>
          <w:b/>
          <w:bCs/>
          <w:sz w:val="24"/>
          <w:szCs w:val="24"/>
        </w:rPr>
      </w:pPr>
      <w:r w:rsidRPr="0054199B">
        <w:rPr>
          <w:rFonts w:cs="DIN-Bold"/>
          <w:b/>
          <w:bCs/>
          <w:sz w:val="24"/>
          <w:szCs w:val="24"/>
        </w:rPr>
        <w:t>Technical Data</w:t>
      </w:r>
    </w:p>
    <w:p w:rsidR="008A63DF" w:rsidRPr="0054199B" w:rsidRDefault="008A63DF" w:rsidP="008A63DF">
      <w:pPr>
        <w:autoSpaceDE w:val="0"/>
        <w:autoSpaceDN w:val="0"/>
        <w:adjustRightInd w:val="0"/>
        <w:spacing w:after="0" w:line="240" w:lineRule="auto"/>
        <w:rPr>
          <w:rFonts w:cs="DIN-Regular"/>
        </w:rPr>
      </w:pPr>
      <w:r w:rsidRPr="0054199B">
        <w:rPr>
          <w:rFonts w:cs="DIN-Bold"/>
          <w:b/>
          <w:bCs/>
        </w:rPr>
        <w:t xml:space="preserve">Sheen Variants: </w:t>
      </w:r>
      <w:r w:rsidRPr="0054199B">
        <w:rPr>
          <w:rFonts w:cs="DIN-Regular"/>
        </w:rPr>
        <w:t>Low Sheen</w:t>
      </w:r>
    </w:p>
    <w:p w:rsidR="008A63DF" w:rsidRPr="0054199B" w:rsidRDefault="008A63DF" w:rsidP="008A63DF">
      <w:pPr>
        <w:autoSpaceDE w:val="0"/>
        <w:autoSpaceDN w:val="0"/>
        <w:adjustRightInd w:val="0"/>
        <w:spacing w:after="0" w:line="240" w:lineRule="auto"/>
        <w:rPr>
          <w:rFonts w:cs="DIN-Regular"/>
        </w:rPr>
      </w:pPr>
      <w:r w:rsidRPr="0054199B">
        <w:rPr>
          <w:rFonts w:cs="DIN-Bold"/>
          <w:b/>
          <w:bCs/>
        </w:rPr>
        <w:t xml:space="preserve">Colours: </w:t>
      </w:r>
      <w:r w:rsidRPr="0054199B">
        <w:rPr>
          <w:rFonts w:cs="DIN-Regular"/>
        </w:rPr>
        <w:t>Available in specific shades using Colour World Tinting System.</w:t>
      </w:r>
    </w:p>
    <w:p w:rsidR="008A63DF" w:rsidRPr="0054199B" w:rsidRDefault="008A63DF" w:rsidP="008A63DF">
      <w:pPr>
        <w:autoSpaceDE w:val="0"/>
        <w:autoSpaceDN w:val="0"/>
        <w:adjustRightInd w:val="0"/>
        <w:spacing w:after="0" w:line="240" w:lineRule="auto"/>
        <w:rPr>
          <w:rFonts w:cs="DIN-Regular"/>
        </w:rPr>
      </w:pPr>
      <w:r w:rsidRPr="0054199B">
        <w:rPr>
          <w:rFonts w:cs="DIN-Bold"/>
          <w:b/>
          <w:bCs/>
        </w:rPr>
        <w:t xml:space="preserve">Shelf Life: </w:t>
      </w:r>
      <w:proofErr w:type="spellStart"/>
      <w:r w:rsidRPr="0054199B">
        <w:rPr>
          <w:rFonts w:cs="DIN-Regular"/>
        </w:rPr>
        <w:t>Upto</w:t>
      </w:r>
      <w:proofErr w:type="spellEnd"/>
      <w:r w:rsidRPr="0054199B">
        <w:rPr>
          <w:rFonts w:cs="DIN-Regular"/>
        </w:rPr>
        <w:t xml:space="preserve"> 12 months from the date of manufacturing.</w:t>
      </w:r>
    </w:p>
    <w:p w:rsidR="008A63DF" w:rsidRPr="0054199B" w:rsidRDefault="008A63DF" w:rsidP="008A63DF">
      <w:pPr>
        <w:autoSpaceDE w:val="0"/>
        <w:autoSpaceDN w:val="0"/>
        <w:adjustRightInd w:val="0"/>
        <w:spacing w:after="0" w:line="240" w:lineRule="auto"/>
        <w:rPr>
          <w:rFonts w:cs="DIN-Regular"/>
        </w:rPr>
      </w:pPr>
      <w:r w:rsidRPr="0054199B">
        <w:rPr>
          <w:rFonts w:cs="DIN-Bold"/>
          <w:b/>
          <w:bCs/>
        </w:rPr>
        <w:t xml:space="preserve">Pack Size: </w:t>
      </w:r>
      <w:r w:rsidRPr="0054199B">
        <w:rPr>
          <w:rFonts w:cs="DIN-Regular"/>
        </w:rPr>
        <w:t xml:space="preserve">450 ML, 900 ML (425 and 850 ml without </w:t>
      </w:r>
      <w:proofErr w:type="spellStart"/>
      <w:r w:rsidRPr="0054199B">
        <w:rPr>
          <w:rFonts w:cs="DIN-Regular"/>
        </w:rPr>
        <w:t>colourants</w:t>
      </w:r>
      <w:proofErr w:type="spellEnd"/>
      <w:r w:rsidRPr="0054199B">
        <w:rPr>
          <w:rFonts w:cs="DIN-Regular"/>
        </w:rPr>
        <w:t>)</w:t>
      </w:r>
    </w:p>
    <w:p w:rsidR="00211080" w:rsidRDefault="00211080" w:rsidP="008A63DF">
      <w:pPr>
        <w:autoSpaceDE w:val="0"/>
        <w:autoSpaceDN w:val="0"/>
        <w:adjustRightInd w:val="0"/>
        <w:spacing w:after="0" w:line="240" w:lineRule="auto"/>
        <w:rPr>
          <w:rFonts w:cs="DIN-Bold"/>
          <w:b/>
          <w:bCs/>
        </w:rPr>
      </w:pPr>
    </w:p>
    <w:p w:rsidR="008A63DF" w:rsidRPr="0054199B" w:rsidRDefault="008A63DF" w:rsidP="008A63DF">
      <w:pPr>
        <w:autoSpaceDE w:val="0"/>
        <w:autoSpaceDN w:val="0"/>
        <w:adjustRightInd w:val="0"/>
        <w:spacing w:after="0" w:line="240" w:lineRule="auto"/>
        <w:rPr>
          <w:rFonts w:cs="DIN-Regular"/>
        </w:rPr>
      </w:pPr>
      <w:r w:rsidRPr="0054199B">
        <w:rPr>
          <w:rFonts w:cs="DIN-Bold"/>
          <w:b/>
          <w:bCs/>
        </w:rPr>
        <w:t xml:space="preserve">Theoretical Coverage: </w:t>
      </w:r>
      <w:r w:rsidRPr="0054199B">
        <w:rPr>
          <w:rFonts w:cs="DIN-Regular"/>
        </w:rPr>
        <w:t>15 - 20 m2/</w:t>
      </w:r>
      <w:proofErr w:type="spellStart"/>
      <w:r w:rsidRPr="0054199B">
        <w:rPr>
          <w:rFonts w:cs="DIN-Regular"/>
        </w:rPr>
        <w:t>ltr</w:t>
      </w:r>
      <w:proofErr w:type="spellEnd"/>
      <w:r w:rsidRPr="0054199B">
        <w:rPr>
          <w:rFonts w:cs="DIN-Regular"/>
        </w:rPr>
        <w:t xml:space="preserve"> per coat depending on thinning, pattern, substrate, base coat, and style of painting.</w:t>
      </w:r>
    </w:p>
    <w:p w:rsidR="000820C4" w:rsidRPr="0054199B" w:rsidRDefault="008A63DF" w:rsidP="008A63DF">
      <w:pPr>
        <w:rPr>
          <w:rFonts w:cs="DIN-Regular"/>
        </w:rPr>
      </w:pPr>
      <w:r w:rsidRPr="0054199B">
        <w:rPr>
          <w:rFonts w:cs="DIN-Bold"/>
          <w:b/>
          <w:bCs/>
        </w:rPr>
        <w:t xml:space="preserve">Practical Coverage: </w:t>
      </w:r>
      <w:r w:rsidRPr="0054199B">
        <w:rPr>
          <w:rFonts w:cs="DIN-Regular"/>
        </w:rPr>
        <w:t>Practical coverage may depend on surface profile, method of application and weather conditions.</w:t>
      </w:r>
    </w:p>
    <w:tbl>
      <w:tblPr>
        <w:tblW w:w="7853"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616"/>
        <w:gridCol w:w="1843"/>
        <w:gridCol w:w="1843"/>
        <w:gridCol w:w="2551"/>
      </w:tblGrid>
      <w:tr w:rsidR="0054199B" w:rsidRPr="0054199B" w:rsidTr="008A63DF">
        <w:trPr>
          <w:trHeight w:hRule="exact" w:val="302"/>
          <w:jc w:val="center"/>
        </w:trPr>
        <w:tc>
          <w:tcPr>
            <w:tcW w:w="1616" w:type="dxa"/>
            <w:vMerge w:val="restart"/>
            <w:shd w:val="clear" w:color="auto" w:fill="auto"/>
          </w:tcPr>
          <w:p w:rsidR="008A63DF" w:rsidRPr="0054199B" w:rsidRDefault="008A63DF" w:rsidP="007C2E70">
            <w:pPr>
              <w:spacing w:before="12" w:after="0" w:line="280" w:lineRule="exact"/>
            </w:pPr>
          </w:p>
          <w:p w:rsidR="008A63DF" w:rsidRPr="0054199B" w:rsidRDefault="008A63DF" w:rsidP="007C2E70">
            <w:pPr>
              <w:spacing w:after="0" w:line="240" w:lineRule="auto"/>
              <w:ind w:left="72" w:right="-20"/>
              <w:rPr>
                <w:rFonts w:eastAsia="DIN" w:cs="DIN"/>
              </w:rPr>
            </w:pPr>
            <w:r w:rsidRPr="0054199B">
              <w:rPr>
                <w:rFonts w:eastAsia="DIN" w:cs="DIN"/>
                <w:b/>
                <w:bCs/>
              </w:rPr>
              <w:t>Drying time</w:t>
            </w:r>
          </w:p>
        </w:tc>
        <w:tc>
          <w:tcPr>
            <w:tcW w:w="1843" w:type="dxa"/>
            <w:shd w:val="clear" w:color="auto" w:fill="auto"/>
          </w:tcPr>
          <w:p w:rsidR="008A63DF" w:rsidRPr="0054199B" w:rsidRDefault="008A63DF" w:rsidP="007C2E70">
            <w:pPr>
              <w:spacing w:before="12" w:after="0" w:line="240" w:lineRule="auto"/>
              <w:ind w:left="73" w:right="-20"/>
              <w:rPr>
                <w:rFonts w:eastAsia="DIN" w:cs="DIN"/>
              </w:rPr>
            </w:pPr>
            <w:r w:rsidRPr="0054199B">
              <w:rPr>
                <w:rFonts w:eastAsia="DIN" w:cs="DIN"/>
                <w:b/>
                <w:bCs/>
              </w:rPr>
              <w:t>Sub</w:t>
            </w:r>
            <w:r w:rsidRPr="0054199B">
              <w:rPr>
                <w:rFonts w:eastAsia="DIN" w:cs="DIN"/>
                <w:b/>
                <w:bCs/>
                <w:spacing w:val="-2"/>
              </w:rPr>
              <w:t>s</w:t>
            </w:r>
            <w:r w:rsidRPr="0054199B">
              <w:rPr>
                <w:rFonts w:eastAsia="DIN" w:cs="DIN"/>
                <w:b/>
                <w:bCs/>
              </w:rPr>
              <w:t>t</w:t>
            </w:r>
            <w:r w:rsidRPr="0054199B">
              <w:rPr>
                <w:rFonts w:eastAsia="DIN" w:cs="DIN"/>
                <w:b/>
                <w:bCs/>
                <w:spacing w:val="-2"/>
              </w:rPr>
              <w:t>r</w:t>
            </w:r>
            <w:r w:rsidRPr="0054199B">
              <w:rPr>
                <w:rFonts w:eastAsia="DIN" w:cs="DIN"/>
                <w:b/>
                <w:bCs/>
              </w:rPr>
              <w:t>a</w:t>
            </w:r>
            <w:r w:rsidRPr="0054199B">
              <w:rPr>
                <w:rFonts w:eastAsia="DIN" w:cs="DIN"/>
                <w:b/>
                <w:bCs/>
                <w:spacing w:val="-1"/>
              </w:rPr>
              <w:t>t</w:t>
            </w:r>
            <w:r w:rsidRPr="0054199B">
              <w:rPr>
                <w:rFonts w:eastAsia="DIN" w:cs="DIN"/>
                <w:b/>
                <w:bCs/>
              </w:rPr>
              <w:t xml:space="preserve">e </w:t>
            </w:r>
            <w:r w:rsidRPr="0054199B">
              <w:rPr>
                <w:rFonts w:eastAsia="DIN" w:cs="DIN"/>
                <w:b/>
                <w:bCs/>
                <w:spacing w:val="-13"/>
              </w:rPr>
              <w:t>T</w:t>
            </w:r>
            <w:r w:rsidRPr="0054199B">
              <w:rPr>
                <w:rFonts w:eastAsia="DIN" w:cs="DIN"/>
                <w:b/>
                <w:bCs/>
              </w:rPr>
              <w:t>emp.</w:t>
            </w:r>
          </w:p>
        </w:tc>
        <w:tc>
          <w:tcPr>
            <w:tcW w:w="1843" w:type="dxa"/>
            <w:shd w:val="clear" w:color="auto" w:fill="auto"/>
          </w:tcPr>
          <w:p w:rsidR="008A63DF" w:rsidRPr="0054199B" w:rsidRDefault="008A63DF" w:rsidP="007C2E70">
            <w:pPr>
              <w:spacing w:before="12" w:after="0" w:line="240" w:lineRule="auto"/>
              <w:ind w:left="73" w:right="-20"/>
              <w:rPr>
                <w:rFonts w:eastAsia="DIN" w:cs="DIN"/>
              </w:rPr>
            </w:pPr>
            <w:r w:rsidRPr="0054199B">
              <w:rPr>
                <w:rFonts w:eastAsia="DIN" w:cs="DIN"/>
                <w:b/>
                <w:bCs/>
                <w:spacing w:val="-13"/>
              </w:rPr>
              <w:t>T</w:t>
            </w:r>
            <w:r w:rsidRPr="0054199B">
              <w:rPr>
                <w:rFonts w:eastAsia="DIN" w:cs="DIN"/>
                <w:b/>
                <w:bCs/>
              </w:rPr>
              <w:t>ouch Dry</w:t>
            </w:r>
          </w:p>
        </w:tc>
        <w:tc>
          <w:tcPr>
            <w:tcW w:w="2551" w:type="dxa"/>
            <w:shd w:val="clear" w:color="auto" w:fill="auto"/>
          </w:tcPr>
          <w:p w:rsidR="008A63DF" w:rsidRPr="0054199B" w:rsidRDefault="008A63DF" w:rsidP="008A63DF">
            <w:pPr>
              <w:spacing w:before="12" w:after="0" w:line="240" w:lineRule="auto"/>
              <w:ind w:right="-20"/>
              <w:rPr>
                <w:rFonts w:eastAsia="DIN" w:cs="DIN"/>
              </w:rPr>
            </w:pPr>
            <w:r w:rsidRPr="0054199B">
              <w:rPr>
                <w:rFonts w:eastAsia="DIN" w:cs="DIN"/>
                <w:b/>
                <w:bCs/>
                <w:spacing w:val="-13"/>
              </w:rPr>
              <w:t>T</w:t>
            </w:r>
            <w:r w:rsidRPr="0054199B">
              <w:rPr>
                <w:rFonts w:eastAsia="DIN" w:cs="DIN"/>
                <w:b/>
                <w:bCs/>
              </w:rPr>
              <w:t>ack-f</w:t>
            </w:r>
            <w:r w:rsidRPr="0054199B">
              <w:rPr>
                <w:rFonts w:eastAsia="DIN" w:cs="DIN"/>
                <w:b/>
                <w:bCs/>
                <w:spacing w:val="-6"/>
              </w:rPr>
              <w:t>r</w:t>
            </w:r>
            <w:r w:rsidRPr="0054199B">
              <w:rPr>
                <w:rFonts w:eastAsia="DIN" w:cs="DIN"/>
                <w:b/>
                <w:bCs/>
              </w:rPr>
              <w:t>ee Dry</w:t>
            </w:r>
          </w:p>
        </w:tc>
      </w:tr>
      <w:tr w:rsidR="0054199B" w:rsidRPr="0054199B" w:rsidTr="008A63DF">
        <w:trPr>
          <w:trHeight w:hRule="exact" w:val="357"/>
          <w:jc w:val="center"/>
        </w:trPr>
        <w:tc>
          <w:tcPr>
            <w:tcW w:w="1616" w:type="dxa"/>
            <w:vMerge/>
            <w:shd w:val="clear" w:color="auto" w:fill="auto"/>
          </w:tcPr>
          <w:p w:rsidR="008A63DF" w:rsidRPr="0054199B" w:rsidRDefault="008A63DF" w:rsidP="007C2E70"/>
        </w:tc>
        <w:tc>
          <w:tcPr>
            <w:tcW w:w="1843" w:type="dxa"/>
            <w:shd w:val="clear" w:color="auto" w:fill="auto"/>
          </w:tcPr>
          <w:p w:rsidR="008A63DF" w:rsidRPr="0054199B" w:rsidRDefault="008A63DF" w:rsidP="007C2E70">
            <w:pPr>
              <w:spacing w:before="72" w:after="0" w:line="240" w:lineRule="auto"/>
              <w:ind w:left="73" w:right="-20"/>
              <w:rPr>
                <w:rFonts w:eastAsia="DIN-RegularAlternate" w:cs="DIN-RegularAlternate"/>
              </w:rPr>
            </w:pPr>
            <w:r w:rsidRPr="0054199B">
              <w:rPr>
                <w:rFonts w:eastAsia="DIN-RegularAlternate" w:cs="DIN-RegularAlternate"/>
                <w:w w:val="101"/>
              </w:rPr>
              <w:t>40°C</w:t>
            </w:r>
          </w:p>
        </w:tc>
        <w:tc>
          <w:tcPr>
            <w:tcW w:w="1843" w:type="dxa"/>
            <w:shd w:val="clear" w:color="auto" w:fill="auto"/>
          </w:tcPr>
          <w:p w:rsidR="008A63DF" w:rsidRPr="0054199B" w:rsidRDefault="008A63DF" w:rsidP="007C2E70">
            <w:pPr>
              <w:spacing w:before="72" w:after="0" w:line="240" w:lineRule="auto"/>
              <w:ind w:left="73" w:right="-20"/>
              <w:rPr>
                <w:rFonts w:eastAsia="DIN-RegularAlternate" w:cs="DIN-RegularAlternate"/>
              </w:rPr>
            </w:pPr>
            <w:r w:rsidRPr="0054199B">
              <w:rPr>
                <w:rFonts w:eastAsia="DIN-RegularAlternate" w:cs="DIN-RegularAlternate"/>
              </w:rPr>
              <w:t>6</w:t>
            </w:r>
            <w:r w:rsidRPr="0054199B">
              <w:rPr>
                <w:rFonts w:eastAsia="DIN-RegularAlternate" w:cs="DIN-RegularAlternate"/>
                <w:spacing w:val="-1"/>
              </w:rPr>
              <w:t xml:space="preserve"> </w:t>
            </w:r>
            <w:r w:rsidRPr="0054199B">
              <w:rPr>
                <w:rFonts w:eastAsia="DIN-RegularAlternate" w:cs="DIN-RegularAlternate"/>
              </w:rPr>
              <w:t>hou</w:t>
            </w:r>
            <w:r w:rsidRPr="0054199B">
              <w:rPr>
                <w:rFonts w:eastAsia="DIN-RegularAlternate" w:cs="DIN-RegularAlternate"/>
                <w:spacing w:val="-2"/>
              </w:rPr>
              <w:t>r</w:t>
            </w:r>
            <w:r w:rsidRPr="0054199B">
              <w:rPr>
                <w:rFonts w:eastAsia="DIN-RegularAlternate" w:cs="DIN-RegularAlternate"/>
              </w:rPr>
              <w:t>s</w:t>
            </w:r>
          </w:p>
        </w:tc>
        <w:tc>
          <w:tcPr>
            <w:tcW w:w="2551" w:type="dxa"/>
            <w:shd w:val="clear" w:color="auto" w:fill="auto"/>
          </w:tcPr>
          <w:p w:rsidR="008A63DF" w:rsidRPr="0054199B" w:rsidRDefault="008A63DF" w:rsidP="007C2E70">
            <w:pPr>
              <w:spacing w:before="72" w:after="0" w:line="240" w:lineRule="auto"/>
              <w:ind w:left="73" w:right="-20"/>
              <w:rPr>
                <w:rFonts w:eastAsia="DIN-RegularAlternate" w:cs="DIN-RegularAlternate"/>
              </w:rPr>
            </w:pPr>
            <w:r w:rsidRPr="0054199B">
              <w:rPr>
                <w:rFonts w:eastAsia="DIN-RegularAlternate" w:cs="DIN-RegularAlternate"/>
              </w:rPr>
              <w:t>24</w:t>
            </w:r>
            <w:r w:rsidRPr="0054199B">
              <w:rPr>
                <w:rFonts w:eastAsia="DIN-RegularAlternate" w:cs="DIN-RegularAlternate"/>
                <w:spacing w:val="-2"/>
              </w:rPr>
              <w:t xml:space="preserve"> </w:t>
            </w:r>
            <w:r w:rsidRPr="0054199B">
              <w:rPr>
                <w:rFonts w:eastAsia="DIN-RegularAlternate" w:cs="DIN-RegularAlternate"/>
              </w:rPr>
              <w:t>hou</w:t>
            </w:r>
            <w:r w:rsidRPr="0054199B">
              <w:rPr>
                <w:rFonts w:eastAsia="DIN-RegularAlternate" w:cs="DIN-RegularAlternate"/>
                <w:spacing w:val="-2"/>
              </w:rPr>
              <w:t>r</w:t>
            </w:r>
            <w:r w:rsidRPr="0054199B">
              <w:rPr>
                <w:rFonts w:eastAsia="DIN-RegularAlternate" w:cs="DIN-RegularAlternate"/>
              </w:rPr>
              <w:t>s</w:t>
            </w:r>
          </w:p>
        </w:tc>
      </w:tr>
      <w:tr w:rsidR="0054199B" w:rsidRPr="0054199B" w:rsidTr="008A63DF">
        <w:trPr>
          <w:trHeight w:hRule="exact" w:val="357"/>
          <w:jc w:val="center"/>
        </w:trPr>
        <w:tc>
          <w:tcPr>
            <w:tcW w:w="1616" w:type="dxa"/>
            <w:vMerge/>
            <w:shd w:val="clear" w:color="auto" w:fill="auto"/>
          </w:tcPr>
          <w:p w:rsidR="008A63DF" w:rsidRPr="0054199B" w:rsidRDefault="008A63DF" w:rsidP="007C2E70"/>
        </w:tc>
        <w:tc>
          <w:tcPr>
            <w:tcW w:w="1843" w:type="dxa"/>
            <w:shd w:val="clear" w:color="auto" w:fill="auto"/>
          </w:tcPr>
          <w:p w:rsidR="008A63DF" w:rsidRPr="0054199B" w:rsidRDefault="008A63DF" w:rsidP="007C2E70">
            <w:pPr>
              <w:spacing w:before="72" w:after="0" w:line="240" w:lineRule="auto"/>
              <w:ind w:left="73" w:right="-20"/>
              <w:rPr>
                <w:rFonts w:eastAsia="DIN-RegularAlternate" w:cs="DIN-RegularAlternate"/>
              </w:rPr>
            </w:pPr>
            <w:r w:rsidRPr="0054199B">
              <w:rPr>
                <w:rFonts w:eastAsia="DIN-RegularAlternate" w:cs="DIN-RegularAlternate"/>
                <w:w w:val="103"/>
              </w:rPr>
              <w:t>25°C</w:t>
            </w:r>
          </w:p>
        </w:tc>
        <w:tc>
          <w:tcPr>
            <w:tcW w:w="1843" w:type="dxa"/>
            <w:shd w:val="clear" w:color="auto" w:fill="auto"/>
          </w:tcPr>
          <w:p w:rsidR="008A63DF" w:rsidRPr="0054199B" w:rsidRDefault="008A63DF" w:rsidP="007C2E70">
            <w:pPr>
              <w:spacing w:before="72" w:after="0" w:line="240" w:lineRule="auto"/>
              <w:ind w:left="73" w:right="-20"/>
              <w:rPr>
                <w:rFonts w:eastAsia="DIN-RegularAlternate" w:cs="DIN-RegularAlternate"/>
              </w:rPr>
            </w:pPr>
            <w:r w:rsidRPr="0054199B">
              <w:rPr>
                <w:rFonts w:eastAsia="DIN-RegularAlternate" w:cs="DIN-RegularAlternate"/>
              </w:rPr>
              <w:t>12</w:t>
            </w:r>
            <w:r w:rsidRPr="0054199B">
              <w:rPr>
                <w:rFonts w:eastAsia="DIN-RegularAlternate" w:cs="DIN-RegularAlternate"/>
                <w:spacing w:val="32"/>
              </w:rPr>
              <w:t xml:space="preserve"> </w:t>
            </w:r>
            <w:r w:rsidRPr="0054199B">
              <w:rPr>
                <w:rFonts w:eastAsia="DIN-RegularAlternate" w:cs="DIN-RegularAlternate"/>
              </w:rPr>
              <w:t>hou</w:t>
            </w:r>
            <w:r w:rsidRPr="0054199B">
              <w:rPr>
                <w:rFonts w:eastAsia="DIN-RegularAlternate" w:cs="DIN-RegularAlternate"/>
                <w:spacing w:val="-2"/>
              </w:rPr>
              <w:t>r</w:t>
            </w:r>
            <w:r w:rsidRPr="0054199B">
              <w:rPr>
                <w:rFonts w:eastAsia="DIN-RegularAlternate" w:cs="DIN-RegularAlternate"/>
              </w:rPr>
              <w:t>s</w:t>
            </w:r>
          </w:p>
        </w:tc>
        <w:tc>
          <w:tcPr>
            <w:tcW w:w="2551" w:type="dxa"/>
            <w:shd w:val="clear" w:color="auto" w:fill="auto"/>
          </w:tcPr>
          <w:p w:rsidR="008A63DF" w:rsidRPr="0054199B" w:rsidRDefault="008A63DF" w:rsidP="007C2E70">
            <w:pPr>
              <w:spacing w:before="72" w:after="0" w:line="240" w:lineRule="auto"/>
              <w:ind w:left="73" w:right="-20"/>
              <w:rPr>
                <w:rFonts w:eastAsia="DIN-RegularAlternate" w:cs="DIN-RegularAlternate"/>
              </w:rPr>
            </w:pPr>
            <w:r w:rsidRPr="0054199B">
              <w:rPr>
                <w:rFonts w:eastAsia="DIN-RegularAlternate" w:cs="DIN-RegularAlternate"/>
              </w:rPr>
              <w:t>48</w:t>
            </w:r>
            <w:r w:rsidRPr="0054199B">
              <w:rPr>
                <w:rFonts w:eastAsia="DIN-RegularAlternate" w:cs="DIN-RegularAlternate"/>
                <w:spacing w:val="-9"/>
              </w:rPr>
              <w:t xml:space="preserve"> </w:t>
            </w:r>
            <w:r w:rsidRPr="0054199B">
              <w:rPr>
                <w:rFonts w:eastAsia="DIN-RegularAlternate" w:cs="DIN-RegularAlternate"/>
              </w:rPr>
              <w:t>hou</w:t>
            </w:r>
            <w:r w:rsidRPr="0054199B">
              <w:rPr>
                <w:rFonts w:eastAsia="DIN-RegularAlternate" w:cs="DIN-RegularAlternate"/>
                <w:spacing w:val="-2"/>
              </w:rPr>
              <w:t>r</w:t>
            </w:r>
            <w:r w:rsidRPr="0054199B">
              <w:rPr>
                <w:rFonts w:eastAsia="DIN-RegularAlternate" w:cs="DIN-RegularAlternate"/>
              </w:rPr>
              <w:t>s</w:t>
            </w:r>
          </w:p>
        </w:tc>
      </w:tr>
    </w:tbl>
    <w:p w:rsidR="008A63DF" w:rsidRPr="0054199B" w:rsidRDefault="008A63DF" w:rsidP="008A63DF"/>
    <w:p w:rsidR="00211080" w:rsidRDefault="00211080" w:rsidP="008A63DF">
      <w:pPr>
        <w:autoSpaceDE w:val="0"/>
        <w:autoSpaceDN w:val="0"/>
        <w:adjustRightInd w:val="0"/>
        <w:spacing w:after="0" w:line="240" w:lineRule="auto"/>
        <w:rPr>
          <w:rFonts w:cs="DIN-Regular"/>
        </w:rPr>
      </w:pPr>
    </w:p>
    <w:p w:rsidR="008A63DF" w:rsidRPr="0054199B" w:rsidRDefault="008A63DF" w:rsidP="008A63DF">
      <w:pPr>
        <w:autoSpaceDE w:val="0"/>
        <w:autoSpaceDN w:val="0"/>
        <w:adjustRightInd w:val="0"/>
        <w:spacing w:after="0" w:line="240" w:lineRule="auto"/>
        <w:rPr>
          <w:rFonts w:cs="DIN-Regular"/>
        </w:rPr>
      </w:pPr>
      <w:r w:rsidRPr="0054199B">
        <w:rPr>
          <w:rFonts w:cs="DIN-Regular"/>
        </w:rPr>
        <w:t xml:space="preserve">The drying time of this product will largely vary based on the type of the undercoat, pattern and shade chosen, extent and nature of the </w:t>
      </w:r>
      <w:proofErr w:type="gramStart"/>
      <w:r w:rsidRPr="0054199B">
        <w:rPr>
          <w:rFonts w:cs="DIN-Regular"/>
        </w:rPr>
        <w:t>thinner,</w:t>
      </w:r>
      <w:proofErr w:type="gramEnd"/>
      <w:r w:rsidRPr="0054199B">
        <w:rPr>
          <w:rFonts w:cs="DIN-Regular"/>
        </w:rPr>
        <w:t xml:space="preserve"> and ambient conditions like air circulation, temperature, humidity etc. The above drying times should be taken only as guideline for Glaze applied in a well ventilated room on a cured natural surface in one coat of minimum thickness.</w:t>
      </w:r>
    </w:p>
    <w:p w:rsidR="008A63DF" w:rsidRPr="0054199B" w:rsidRDefault="008A63DF" w:rsidP="008A63DF">
      <w:pPr>
        <w:autoSpaceDE w:val="0"/>
        <w:autoSpaceDN w:val="0"/>
        <w:adjustRightInd w:val="0"/>
        <w:spacing w:after="0" w:line="240" w:lineRule="auto"/>
        <w:rPr>
          <w:rFonts w:cs="DIN-Bold"/>
          <w:b/>
          <w:bCs/>
        </w:rPr>
      </w:pPr>
    </w:p>
    <w:p w:rsidR="00211080" w:rsidRDefault="00211080" w:rsidP="008A63DF">
      <w:pPr>
        <w:autoSpaceDE w:val="0"/>
        <w:autoSpaceDN w:val="0"/>
        <w:adjustRightInd w:val="0"/>
        <w:spacing w:after="0" w:line="240" w:lineRule="auto"/>
        <w:rPr>
          <w:rFonts w:cs="DIN-Bold"/>
          <w:b/>
          <w:bCs/>
          <w:sz w:val="24"/>
          <w:szCs w:val="24"/>
        </w:rPr>
      </w:pPr>
    </w:p>
    <w:p w:rsidR="008A63DF" w:rsidRPr="0054199B" w:rsidRDefault="008A63DF" w:rsidP="008A63DF">
      <w:pPr>
        <w:autoSpaceDE w:val="0"/>
        <w:autoSpaceDN w:val="0"/>
        <w:adjustRightInd w:val="0"/>
        <w:spacing w:after="0" w:line="240" w:lineRule="auto"/>
        <w:rPr>
          <w:rFonts w:cs="DIN-Bold"/>
          <w:b/>
          <w:bCs/>
          <w:sz w:val="24"/>
          <w:szCs w:val="24"/>
        </w:rPr>
      </w:pPr>
      <w:r w:rsidRPr="0054199B">
        <w:rPr>
          <w:rFonts w:cs="DIN-Bold"/>
          <w:b/>
          <w:bCs/>
          <w:sz w:val="24"/>
          <w:szCs w:val="24"/>
        </w:rPr>
        <w:t>Application Data</w:t>
      </w:r>
    </w:p>
    <w:p w:rsidR="008A63DF" w:rsidRPr="0054199B" w:rsidRDefault="008A63DF" w:rsidP="008A63DF">
      <w:pPr>
        <w:autoSpaceDE w:val="0"/>
        <w:autoSpaceDN w:val="0"/>
        <w:adjustRightInd w:val="0"/>
        <w:spacing w:after="0" w:line="240" w:lineRule="auto"/>
        <w:rPr>
          <w:rFonts w:cs="DIN-Regular"/>
        </w:rPr>
      </w:pPr>
      <w:r w:rsidRPr="0054199B">
        <w:rPr>
          <w:rFonts w:cs="DIN-Bold"/>
          <w:b/>
          <w:bCs/>
        </w:rPr>
        <w:t xml:space="preserve">Method of application: </w:t>
      </w:r>
      <w:r w:rsidRPr="0054199B">
        <w:rPr>
          <w:rFonts w:cs="DIN-Regular"/>
        </w:rPr>
        <w:t>Brush, roller, sea sponge, roller with special effects, cloth, rag, etc</w:t>
      </w:r>
      <w:proofErr w:type="gramStart"/>
      <w:r w:rsidRPr="0054199B">
        <w:rPr>
          <w:rFonts w:cs="DIN-Regular"/>
        </w:rPr>
        <w:t>..</w:t>
      </w:r>
      <w:proofErr w:type="gramEnd"/>
    </w:p>
    <w:p w:rsidR="008A63DF" w:rsidRPr="0054199B" w:rsidRDefault="008A63DF" w:rsidP="008A63DF">
      <w:pPr>
        <w:autoSpaceDE w:val="0"/>
        <w:autoSpaceDN w:val="0"/>
        <w:adjustRightInd w:val="0"/>
        <w:spacing w:after="0" w:line="240" w:lineRule="auto"/>
        <w:rPr>
          <w:rFonts w:cs="DIN-Regular"/>
        </w:rPr>
      </w:pPr>
      <w:r w:rsidRPr="0054199B">
        <w:rPr>
          <w:rFonts w:cs="DIN-Bold"/>
          <w:b/>
          <w:bCs/>
        </w:rPr>
        <w:t xml:space="preserve">Thinner: </w:t>
      </w:r>
      <w:proofErr w:type="spellStart"/>
      <w:r w:rsidRPr="0054199B">
        <w:rPr>
          <w:rFonts w:cs="DIN-Regular"/>
        </w:rPr>
        <w:t>Solvalux</w:t>
      </w:r>
      <w:proofErr w:type="spellEnd"/>
      <w:r w:rsidRPr="0054199B">
        <w:rPr>
          <w:rFonts w:cs="DIN-Regular"/>
        </w:rPr>
        <w:t xml:space="preserve"> 7 – 9, 7 - 25</w:t>
      </w:r>
    </w:p>
    <w:p w:rsidR="008A63DF" w:rsidRPr="0054199B" w:rsidRDefault="008A63DF" w:rsidP="008A63DF">
      <w:pPr>
        <w:autoSpaceDE w:val="0"/>
        <w:autoSpaceDN w:val="0"/>
        <w:adjustRightInd w:val="0"/>
        <w:spacing w:after="0" w:line="240" w:lineRule="auto"/>
        <w:rPr>
          <w:rFonts w:cs="DIN-Regular"/>
        </w:rPr>
      </w:pPr>
      <w:proofErr w:type="gramStart"/>
      <w:r w:rsidRPr="0054199B">
        <w:rPr>
          <w:rFonts w:cs="DIN-Bold"/>
          <w:b/>
          <w:bCs/>
        </w:rPr>
        <w:t xml:space="preserve">Thinning ratio (by vol.): </w:t>
      </w:r>
      <w:r w:rsidRPr="0054199B">
        <w:rPr>
          <w:rFonts w:cs="DIN-Regular"/>
        </w:rPr>
        <w:t>Typically around 40% depending on the method of application, and desired effect.</w:t>
      </w:r>
      <w:proofErr w:type="gramEnd"/>
    </w:p>
    <w:p w:rsidR="008A63DF" w:rsidRPr="0054199B" w:rsidRDefault="008A63DF" w:rsidP="008A63DF">
      <w:pPr>
        <w:autoSpaceDE w:val="0"/>
        <w:autoSpaceDN w:val="0"/>
        <w:adjustRightInd w:val="0"/>
        <w:spacing w:after="0" w:line="240" w:lineRule="auto"/>
        <w:rPr>
          <w:rFonts w:cs="DIN-Bold"/>
          <w:b/>
          <w:bCs/>
        </w:rPr>
      </w:pPr>
    </w:p>
    <w:p w:rsidR="00211080" w:rsidRDefault="00211080" w:rsidP="008A63DF">
      <w:pPr>
        <w:autoSpaceDE w:val="0"/>
        <w:autoSpaceDN w:val="0"/>
        <w:adjustRightInd w:val="0"/>
        <w:spacing w:after="0" w:line="240" w:lineRule="auto"/>
        <w:rPr>
          <w:rFonts w:cs="DIN-Bold"/>
          <w:b/>
          <w:bCs/>
          <w:sz w:val="24"/>
          <w:szCs w:val="24"/>
        </w:rPr>
      </w:pPr>
    </w:p>
    <w:p w:rsidR="008A63DF" w:rsidRPr="0054199B" w:rsidRDefault="008A63DF" w:rsidP="008A63DF">
      <w:pPr>
        <w:autoSpaceDE w:val="0"/>
        <w:autoSpaceDN w:val="0"/>
        <w:adjustRightInd w:val="0"/>
        <w:spacing w:after="0" w:line="240" w:lineRule="auto"/>
        <w:rPr>
          <w:rFonts w:cs="DIN-Bold"/>
          <w:b/>
          <w:bCs/>
          <w:sz w:val="24"/>
          <w:szCs w:val="24"/>
        </w:rPr>
      </w:pPr>
      <w:r w:rsidRPr="0054199B">
        <w:rPr>
          <w:rFonts w:cs="DIN-Bold"/>
          <w:b/>
          <w:bCs/>
          <w:sz w:val="24"/>
          <w:szCs w:val="24"/>
        </w:rPr>
        <w:t>Surface Preparation</w:t>
      </w:r>
    </w:p>
    <w:p w:rsidR="008A63DF" w:rsidRPr="0054199B" w:rsidRDefault="008A63DF" w:rsidP="008A63DF">
      <w:pPr>
        <w:autoSpaceDE w:val="0"/>
        <w:autoSpaceDN w:val="0"/>
        <w:adjustRightInd w:val="0"/>
        <w:spacing w:after="0" w:line="240" w:lineRule="auto"/>
        <w:rPr>
          <w:rFonts w:cs="DIN-Regular"/>
        </w:rPr>
      </w:pPr>
      <w:r w:rsidRPr="0054199B">
        <w:rPr>
          <w:rFonts w:cs="DIN-Regular"/>
        </w:rPr>
        <w:t>The performance of this coating is directly related to the degree of surface preparation.</w:t>
      </w:r>
    </w:p>
    <w:p w:rsidR="008A63DF" w:rsidRPr="0054199B" w:rsidRDefault="008A63DF" w:rsidP="008A63DF">
      <w:pPr>
        <w:autoSpaceDE w:val="0"/>
        <w:autoSpaceDN w:val="0"/>
        <w:adjustRightInd w:val="0"/>
        <w:spacing w:after="0" w:line="240" w:lineRule="auto"/>
        <w:rPr>
          <w:rFonts w:cs="DIN-Regular"/>
        </w:rPr>
      </w:pPr>
      <w:r w:rsidRPr="0054199B">
        <w:rPr>
          <w:rFonts w:cs="DIN-Regular"/>
        </w:rPr>
        <w:t>• Ensure surface is clean, dry and free from all contaminants.</w:t>
      </w:r>
    </w:p>
    <w:p w:rsidR="008A63DF" w:rsidRPr="0054199B" w:rsidRDefault="008A63DF" w:rsidP="008A63DF">
      <w:pPr>
        <w:autoSpaceDE w:val="0"/>
        <w:autoSpaceDN w:val="0"/>
        <w:adjustRightInd w:val="0"/>
        <w:spacing w:after="0" w:line="240" w:lineRule="auto"/>
        <w:rPr>
          <w:rFonts w:cs="DIN-Regular"/>
        </w:rPr>
      </w:pPr>
      <w:r w:rsidRPr="0054199B">
        <w:rPr>
          <w:rFonts w:cs="DIN-Regular"/>
        </w:rPr>
        <w:t>• Surface must be sound and free from laitance.</w:t>
      </w:r>
    </w:p>
    <w:p w:rsidR="008A63DF" w:rsidRPr="0054199B" w:rsidRDefault="008A63DF" w:rsidP="008A63DF">
      <w:pPr>
        <w:rPr>
          <w:rFonts w:cs="DIN-Regular"/>
        </w:rPr>
      </w:pPr>
      <w:r w:rsidRPr="0054199B">
        <w:rPr>
          <w:rFonts w:cs="DIN-Regular"/>
        </w:rPr>
        <w:t>• Remove laitance by wire brush or sweep blast</w:t>
      </w:r>
    </w:p>
    <w:p w:rsidR="00211080" w:rsidRDefault="00211080" w:rsidP="008A63DF">
      <w:pPr>
        <w:autoSpaceDE w:val="0"/>
        <w:autoSpaceDN w:val="0"/>
        <w:adjustRightInd w:val="0"/>
        <w:spacing w:after="0" w:line="240" w:lineRule="auto"/>
        <w:rPr>
          <w:rFonts w:cs="DIN-Bold"/>
          <w:b/>
          <w:bCs/>
          <w:sz w:val="24"/>
          <w:szCs w:val="24"/>
        </w:rPr>
      </w:pPr>
    </w:p>
    <w:p w:rsidR="00F059EE" w:rsidRDefault="00F059EE" w:rsidP="008A63DF">
      <w:pPr>
        <w:autoSpaceDE w:val="0"/>
        <w:autoSpaceDN w:val="0"/>
        <w:adjustRightInd w:val="0"/>
        <w:spacing w:after="0" w:line="240" w:lineRule="auto"/>
        <w:rPr>
          <w:rFonts w:cs="DIN-Bold"/>
          <w:b/>
          <w:bCs/>
          <w:sz w:val="24"/>
          <w:szCs w:val="24"/>
        </w:rPr>
      </w:pPr>
    </w:p>
    <w:p w:rsidR="00211080" w:rsidRDefault="00211080" w:rsidP="008A63DF">
      <w:pPr>
        <w:autoSpaceDE w:val="0"/>
        <w:autoSpaceDN w:val="0"/>
        <w:adjustRightInd w:val="0"/>
        <w:spacing w:after="0" w:line="240" w:lineRule="auto"/>
        <w:rPr>
          <w:rFonts w:cs="DIN-Bold"/>
          <w:b/>
          <w:bCs/>
          <w:sz w:val="24"/>
          <w:szCs w:val="24"/>
        </w:rPr>
      </w:pPr>
      <w:r w:rsidRPr="00211080">
        <w:rPr>
          <w:rFonts w:cs="DIN-Bold"/>
          <w:b/>
          <w:bCs/>
          <w:noProof/>
          <w:sz w:val="24"/>
          <w:szCs w:val="24"/>
          <w:lang w:val="en-US"/>
        </w:rPr>
        <w:drawing>
          <wp:anchor distT="0" distB="0" distL="114300" distR="114300" simplePos="0" relativeHeight="251663360" behindDoc="1" locked="0" layoutInCell="1" allowOverlap="1">
            <wp:simplePos x="0" y="0"/>
            <wp:positionH relativeFrom="column">
              <wp:posOffset>-457200</wp:posOffset>
            </wp:positionH>
            <wp:positionV relativeFrom="paragraph">
              <wp:posOffset>363855</wp:posOffset>
            </wp:positionV>
            <wp:extent cx="7553325" cy="485775"/>
            <wp:effectExtent l="19050" t="0" r="9525" b="0"/>
            <wp:wrapTight wrapText="bothSides">
              <wp:wrapPolygon edited="0">
                <wp:start x="-54" y="0"/>
                <wp:lineTo x="-54" y="21176"/>
                <wp:lineTo x="21627" y="21176"/>
                <wp:lineTo x="21627" y="0"/>
                <wp:lineTo x="-54" y="0"/>
              </wp:wrapPolygon>
            </wp:wrapTight>
            <wp:docPr id="1" name="Picture 1" descr="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jpg"/>
                    <pic:cNvPicPr/>
                  </pic:nvPicPr>
                  <pic:blipFill>
                    <a:blip r:embed="rId5" cstate="print"/>
                    <a:srcRect t="60811"/>
                    <a:stretch>
                      <a:fillRect/>
                    </a:stretch>
                  </pic:blipFill>
                  <pic:spPr>
                    <a:xfrm>
                      <a:off x="0" y="0"/>
                      <a:ext cx="7553325" cy="485775"/>
                    </a:xfrm>
                    <a:prstGeom prst="rect">
                      <a:avLst/>
                    </a:prstGeom>
                  </pic:spPr>
                </pic:pic>
              </a:graphicData>
            </a:graphic>
          </wp:anchor>
        </w:drawing>
      </w:r>
    </w:p>
    <w:p w:rsidR="00211080" w:rsidRDefault="00F059EE" w:rsidP="008A63DF">
      <w:pPr>
        <w:autoSpaceDE w:val="0"/>
        <w:autoSpaceDN w:val="0"/>
        <w:adjustRightInd w:val="0"/>
        <w:spacing w:after="0" w:line="240" w:lineRule="auto"/>
        <w:rPr>
          <w:rFonts w:cs="DIN-Bold"/>
          <w:b/>
          <w:bCs/>
          <w:sz w:val="24"/>
          <w:szCs w:val="24"/>
        </w:rPr>
      </w:pPr>
      <w:r w:rsidRPr="00F059EE">
        <w:rPr>
          <w:rFonts w:cs="DIN-Bold"/>
          <w:b/>
          <w:bCs/>
          <w:noProof/>
          <w:sz w:val="24"/>
          <w:szCs w:val="24"/>
          <w:lang w:val="en-US"/>
        </w:rPr>
        <w:lastRenderedPageBreak/>
        <w:drawing>
          <wp:anchor distT="0" distB="0" distL="114300" distR="114300" simplePos="0" relativeHeight="251669504" behindDoc="0" locked="0" layoutInCell="1" allowOverlap="1">
            <wp:simplePos x="0" y="0"/>
            <wp:positionH relativeFrom="margin">
              <wp:posOffset>-457200</wp:posOffset>
            </wp:positionH>
            <wp:positionV relativeFrom="margin">
              <wp:posOffset>-457200</wp:posOffset>
            </wp:positionV>
            <wp:extent cx="7572375" cy="1685925"/>
            <wp:effectExtent l="19050" t="0" r="9525" b="0"/>
            <wp:wrapSquare wrapText="bothSides"/>
            <wp:docPr id="3" name="Picture 1" descr="C:\Users\user\Desktop\Spec sheet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Spec sheet Header.jpg"/>
                    <pic:cNvPicPr>
                      <a:picLocks noChangeAspect="1" noChangeArrowheads="1"/>
                    </pic:cNvPicPr>
                  </pic:nvPicPr>
                  <pic:blipFill>
                    <a:blip r:embed="rId4" cstate="print"/>
                    <a:srcRect/>
                    <a:stretch>
                      <a:fillRect/>
                    </a:stretch>
                  </pic:blipFill>
                  <pic:spPr bwMode="auto">
                    <a:xfrm>
                      <a:off x="0" y="0"/>
                      <a:ext cx="7572375" cy="1685925"/>
                    </a:xfrm>
                    <a:prstGeom prst="rect">
                      <a:avLst/>
                    </a:prstGeom>
                    <a:noFill/>
                    <a:ln w="9525">
                      <a:noFill/>
                      <a:miter lim="800000"/>
                      <a:headEnd/>
                      <a:tailEnd/>
                    </a:ln>
                  </pic:spPr>
                </pic:pic>
              </a:graphicData>
            </a:graphic>
          </wp:anchor>
        </w:drawing>
      </w:r>
    </w:p>
    <w:p w:rsidR="008A63DF" w:rsidRPr="0054199B" w:rsidRDefault="008A63DF" w:rsidP="008A63DF">
      <w:pPr>
        <w:autoSpaceDE w:val="0"/>
        <w:autoSpaceDN w:val="0"/>
        <w:adjustRightInd w:val="0"/>
        <w:spacing w:after="0" w:line="240" w:lineRule="auto"/>
        <w:rPr>
          <w:rFonts w:cs="DIN-Bold"/>
          <w:b/>
          <w:bCs/>
          <w:sz w:val="24"/>
          <w:szCs w:val="24"/>
        </w:rPr>
      </w:pPr>
      <w:r w:rsidRPr="0054199B">
        <w:rPr>
          <w:rFonts w:cs="DIN-Bold"/>
          <w:b/>
          <w:bCs/>
          <w:sz w:val="24"/>
          <w:szCs w:val="24"/>
        </w:rPr>
        <w:t>Application Details</w:t>
      </w:r>
    </w:p>
    <w:p w:rsidR="008A63DF" w:rsidRPr="0054199B" w:rsidRDefault="008A63DF" w:rsidP="008A63DF">
      <w:pPr>
        <w:autoSpaceDE w:val="0"/>
        <w:autoSpaceDN w:val="0"/>
        <w:adjustRightInd w:val="0"/>
        <w:spacing w:after="0" w:line="240" w:lineRule="auto"/>
        <w:rPr>
          <w:rFonts w:cs="DIN-Regular"/>
        </w:rPr>
      </w:pPr>
      <w:r w:rsidRPr="0054199B">
        <w:rPr>
          <w:rFonts w:cs="DIN-Regular"/>
        </w:rPr>
        <w:t>• Ensure adequate ventilation during application and drying.</w:t>
      </w:r>
    </w:p>
    <w:p w:rsidR="008A63DF" w:rsidRPr="0054199B" w:rsidRDefault="008A63DF" w:rsidP="008A63DF">
      <w:pPr>
        <w:autoSpaceDE w:val="0"/>
        <w:autoSpaceDN w:val="0"/>
        <w:adjustRightInd w:val="0"/>
        <w:spacing w:after="0" w:line="240" w:lineRule="auto"/>
        <w:rPr>
          <w:rFonts w:cs="DIN-Regular"/>
        </w:rPr>
      </w:pPr>
      <w:r w:rsidRPr="0054199B">
        <w:rPr>
          <w:rFonts w:cs="DIN-Regular"/>
        </w:rPr>
        <w:t>• Do not apply when humidity exceeds 85% and condensation is likely.</w:t>
      </w:r>
    </w:p>
    <w:p w:rsidR="008A63DF" w:rsidRPr="0054199B" w:rsidRDefault="008A63DF" w:rsidP="008A63DF">
      <w:pPr>
        <w:autoSpaceDE w:val="0"/>
        <w:autoSpaceDN w:val="0"/>
        <w:adjustRightInd w:val="0"/>
        <w:spacing w:after="0" w:line="240" w:lineRule="auto"/>
        <w:rPr>
          <w:rFonts w:cs="DIN-Regular"/>
        </w:rPr>
      </w:pPr>
      <w:r w:rsidRPr="0054199B">
        <w:rPr>
          <w:rFonts w:cs="DIN-Regular"/>
        </w:rPr>
        <w:t>• Surface temperature should be 3°C or more above dew point.</w:t>
      </w:r>
    </w:p>
    <w:p w:rsidR="008A63DF" w:rsidRPr="0054199B" w:rsidRDefault="008A63DF" w:rsidP="008A63DF">
      <w:pPr>
        <w:autoSpaceDE w:val="0"/>
        <w:autoSpaceDN w:val="0"/>
        <w:adjustRightInd w:val="0"/>
        <w:spacing w:after="0" w:line="240" w:lineRule="auto"/>
        <w:rPr>
          <w:rFonts w:cs="DIN-Regular"/>
        </w:rPr>
      </w:pPr>
      <w:r w:rsidRPr="0054199B">
        <w:rPr>
          <w:rFonts w:cs="DIN-Regular"/>
        </w:rPr>
        <w:t>• Stir the contents thoroughly before and during use, with a broad flat stirrer, using an upward lifting action.</w:t>
      </w:r>
    </w:p>
    <w:p w:rsidR="008A63DF" w:rsidRPr="0054199B" w:rsidRDefault="008A63DF" w:rsidP="008A63DF">
      <w:pPr>
        <w:autoSpaceDE w:val="0"/>
        <w:autoSpaceDN w:val="0"/>
        <w:adjustRightInd w:val="0"/>
        <w:spacing w:after="0" w:line="240" w:lineRule="auto"/>
        <w:rPr>
          <w:rFonts w:cs="DIN-Regular"/>
        </w:rPr>
      </w:pPr>
      <w:r w:rsidRPr="0054199B">
        <w:rPr>
          <w:rFonts w:cs="DIN-Regular"/>
        </w:rPr>
        <w:t>NOTE: Use appropriate application tool depending on the design required to be created. It is suggested that a high quality application tool be used to ensure superior effects.</w:t>
      </w:r>
    </w:p>
    <w:p w:rsidR="008A63DF" w:rsidRPr="0054199B" w:rsidRDefault="008A63DF" w:rsidP="008A63DF">
      <w:pPr>
        <w:autoSpaceDE w:val="0"/>
        <w:autoSpaceDN w:val="0"/>
        <w:adjustRightInd w:val="0"/>
        <w:spacing w:after="0" w:line="240" w:lineRule="auto"/>
        <w:rPr>
          <w:rFonts w:cs="DIN-Regular"/>
        </w:rPr>
      </w:pPr>
    </w:p>
    <w:tbl>
      <w:tblPr>
        <w:tblStyle w:val="TableGrid"/>
        <w:tblW w:w="0" w:type="auto"/>
        <w:jc w:val="center"/>
        <w:tblLook w:val="04A0"/>
      </w:tblPr>
      <w:tblGrid>
        <w:gridCol w:w="10306"/>
      </w:tblGrid>
      <w:tr w:rsidR="008A63DF" w:rsidRPr="0054199B" w:rsidTr="0054199B">
        <w:trPr>
          <w:trHeight w:val="298"/>
          <w:jc w:val="center"/>
        </w:trPr>
        <w:tc>
          <w:tcPr>
            <w:tcW w:w="10306" w:type="dxa"/>
          </w:tcPr>
          <w:p w:rsidR="008A63DF" w:rsidRPr="0054199B" w:rsidRDefault="008A63DF" w:rsidP="0054199B">
            <w:pPr>
              <w:autoSpaceDE w:val="0"/>
              <w:autoSpaceDN w:val="0"/>
              <w:adjustRightInd w:val="0"/>
              <w:jc w:val="center"/>
              <w:rPr>
                <w:rFonts w:cs="DIN-Bold"/>
                <w:b/>
                <w:bCs/>
                <w:sz w:val="24"/>
                <w:szCs w:val="24"/>
              </w:rPr>
            </w:pPr>
            <w:r w:rsidRPr="0054199B">
              <w:rPr>
                <w:rFonts w:cs="DIN-Bold"/>
                <w:b/>
                <w:bCs/>
                <w:sz w:val="24"/>
                <w:szCs w:val="24"/>
              </w:rPr>
              <w:t>TYPICAL PAINT SYSTEM</w:t>
            </w:r>
          </w:p>
        </w:tc>
      </w:tr>
      <w:tr w:rsidR="008A63DF" w:rsidRPr="0054199B" w:rsidTr="0054199B">
        <w:trPr>
          <w:trHeight w:val="282"/>
          <w:jc w:val="center"/>
        </w:trPr>
        <w:tc>
          <w:tcPr>
            <w:tcW w:w="10306" w:type="dxa"/>
          </w:tcPr>
          <w:p w:rsidR="008A63DF" w:rsidRPr="0054199B" w:rsidRDefault="008A63DF" w:rsidP="0054199B">
            <w:pPr>
              <w:autoSpaceDE w:val="0"/>
              <w:autoSpaceDN w:val="0"/>
              <w:adjustRightInd w:val="0"/>
              <w:jc w:val="center"/>
              <w:rPr>
                <w:rFonts w:cs="DIN-Regular"/>
              </w:rPr>
            </w:pPr>
            <w:r w:rsidRPr="0054199B">
              <w:rPr>
                <w:rFonts w:cs="DIN-Regular"/>
              </w:rPr>
              <w:t xml:space="preserve">1coat x </w:t>
            </w:r>
            <w:r w:rsidR="00E41B06">
              <w:rPr>
                <w:rFonts w:cs="DIN-Regular"/>
              </w:rPr>
              <w:t>Supreme</w:t>
            </w:r>
            <w:r w:rsidR="00E41B06" w:rsidRPr="0054199B">
              <w:rPr>
                <w:rFonts w:cs="DIN-Regular"/>
              </w:rPr>
              <w:t xml:space="preserve"> </w:t>
            </w:r>
            <w:r w:rsidRPr="0054199B">
              <w:rPr>
                <w:rFonts w:cs="DIN-Regular"/>
              </w:rPr>
              <w:t>PVA Primer</w:t>
            </w:r>
          </w:p>
        </w:tc>
      </w:tr>
      <w:tr w:rsidR="008A63DF" w:rsidRPr="0054199B" w:rsidTr="0054199B">
        <w:trPr>
          <w:trHeight w:val="266"/>
          <w:jc w:val="center"/>
        </w:trPr>
        <w:tc>
          <w:tcPr>
            <w:tcW w:w="10306" w:type="dxa"/>
          </w:tcPr>
          <w:p w:rsidR="008A63DF" w:rsidRPr="0054199B" w:rsidRDefault="008A63DF" w:rsidP="0054199B">
            <w:pPr>
              <w:autoSpaceDE w:val="0"/>
              <w:autoSpaceDN w:val="0"/>
              <w:adjustRightInd w:val="0"/>
              <w:jc w:val="center"/>
              <w:rPr>
                <w:rFonts w:cs="DIN-Regular"/>
              </w:rPr>
            </w:pPr>
            <w:r w:rsidRPr="0054199B">
              <w:rPr>
                <w:rFonts w:cs="DIN-Regular"/>
              </w:rPr>
              <w:t>1 or 2 coats x</w:t>
            </w:r>
            <w:r w:rsidR="00E41B06">
              <w:rPr>
                <w:rFonts w:cs="DIN-Regular"/>
              </w:rPr>
              <w:t xml:space="preserve"> Supreme</w:t>
            </w:r>
            <w:r w:rsidRPr="0054199B">
              <w:rPr>
                <w:rFonts w:cs="DIN-Regular"/>
              </w:rPr>
              <w:t xml:space="preserve"> Stucco</w:t>
            </w:r>
          </w:p>
        </w:tc>
      </w:tr>
      <w:tr w:rsidR="008A63DF" w:rsidRPr="0054199B" w:rsidTr="0054199B">
        <w:trPr>
          <w:trHeight w:val="282"/>
          <w:jc w:val="center"/>
        </w:trPr>
        <w:tc>
          <w:tcPr>
            <w:tcW w:w="10306" w:type="dxa"/>
          </w:tcPr>
          <w:p w:rsidR="008A63DF" w:rsidRPr="0054199B" w:rsidRDefault="008A63DF" w:rsidP="0054199B">
            <w:pPr>
              <w:autoSpaceDE w:val="0"/>
              <w:autoSpaceDN w:val="0"/>
              <w:adjustRightInd w:val="0"/>
              <w:jc w:val="center"/>
              <w:rPr>
                <w:rFonts w:cs="DIN-Regular"/>
              </w:rPr>
            </w:pPr>
            <w:r w:rsidRPr="0054199B">
              <w:rPr>
                <w:rFonts w:cs="DIN-Regular"/>
              </w:rPr>
              <w:t>2 coats x Supreme Silk Emulsion</w:t>
            </w:r>
          </w:p>
        </w:tc>
      </w:tr>
      <w:tr w:rsidR="008A63DF" w:rsidRPr="0054199B" w:rsidTr="0054199B">
        <w:trPr>
          <w:trHeight w:val="266"/>
          <w:jc w:val="center"/>
        </w:trPr>
        <w:tc>
          <w:tcPr>
            <w:tcW w:w="10306" w:type="dxa"/>
          </w:tcPr>
          <w:p w:rsidR="008A63DF" w:rsidRPr="0054199B" w:rsidRDefault="008A63DF" w:rsidP="0054199B">
            <w:pPr>
              <w:autoSpaceDE w:val="0"/>
              <w:autoSpaceDN w:val="0"/>
              <w:adjustRightInd w:val="0"/>
              <w:jc w:val="center"/>
              <w:rPr>
                <w:rFonts w:cs="DIN-Regular"/>
              </w:rPr>
            </w:pPr>
            <w:r w:rsidRPr="0054199B">
              <w:rPr>
                <w:rFonts w:cs="DIN-Regular"/>
              </w:rPr>
              <w:t>Royale Play Glaze</w:t>
            </w:r>
          </w:p>
        </w:tc>
      </w:tr>
      <w:tr w:rsidR="008A63DF" w:rsidRPr="0054199B" w:rsidTr="0054199B">
        <w:trPr>
          <w:trHeight w:val="298"/>
          <w:jc w:val="center"/>
        </w:trPr>
        <w:tc>
          <w:tcPr>
            <w:tcW w:w="10306" w:type="dxa"/>
          </w:tcPr>
          <w:p w:rsidR="008A63DF" w:rsidRPr="0054199B" w:rsidRDefault="0054199B" w:rsidP="0054199B">
            <w:pPr>
              <w:autoSpaceDE w:val="0"/>
              <w:autoSpaceDN w:val="0"/>
              <w:adjustRightInd w:val="0"/>
              <w:jc w:val="center"/>
              <w:rPr>
                <w:rFonts w:cs="DIN-Regular"/>
              </w:rPr>
            </w:pPr>
            <w:r w:rsidRPr="0054199B">
              <w:rPr>
                <w:rFonts w:cs="DIN-Regular"/>
              </w:rPr>
              <w:t>For detailed system recommendation based on specific requirements please contact Berger representative.</w:t>
            </w:r>
          </w:p>
        </w:tc>
      </w:tr>
    </w:tbl>
    <w:p w:rsidR="00211080" w:rsidRDefault="00211080" w:rsidP="0054199B">
      <w:pPr>
        <w:autoSpaceDE w:val="0"/>
        <w:autoSpaceDN w:val="0"/>
        <w:adjustRightInd w:val="0"/>
        <w:spacing w:after="0" w:line="240" w:lineRule="auto"/>
        <w:rPr>
          <w:rFonts w:cs="DIN-Bold"/>
          <w:b/>
          <w:bCs/>
          <w:sz w:val="24"/>
          <w:szCs w:val="24"/>
        </w:rPr>
      </w:pPr>
    </w:p>
    <w:p w:rsidR="0054199B" w:rsidRPr="0054199B" w:rsidRDefault="0054199B" w:rsidP="0054199B">
      <w:pPr>
        <w:autoSpaceDE w:val="0"/>
        <w:autoSpaceDN w:val="0"/>
        <w:adjustRightInd w:val="0"/>
        <w:spacing w:after="0" w:line="240" w:lineRule="auto"/>
        <w:rPr>
          <w:rFonts w:cs="DIN-Bold"/>
          <w:b/>
          <w:bCs/>
          <w:sz w:val="24"/>
          <w:szCs w:val="24"/>
        </w:rPr>
      </w:pPr>
      <w:r w:rsidRPr="0054199B">
        <w:rPr>
          <w:rFonts w:cs="DIN-Bold"/>
          <w:b/>
          <w:bCs/>
          <w:sz w:val="24"/>
          <w:szCs w:val="24"/>
        </w:rPr>
        <w:t>Storage, Safety Information and Precautions</w:t>
      </w:r>
    </w:p>
    <w:p w:rsidR="0054199B" w:rsidRPr="0054199B" w:rsidRDefault="0054199B" w:rsidP="0054199B">
      <w:pPr>
        <w:autoSpaceDE w:val="0"/>
        <w:autoSpaceDN w:val="0"/>
        <w:adjustRightInd w:val="0"/>
        <w:spacing w:after="0" w:line="240" w:lineRule="auto"/>
        <w:rPr>
          <w:rFonts w:cs="DIN-Regular"/>
        </w:rPr>
      </w:pPr>
      <w:r w:rsidRPr="0054199B">
        <w:rPr>
          <w:rFonts w:cs="DIN-Regular"/>
        </w:rPr>
        <w:t>• Keep out of reach of children.</w:t>
      </w:r>
    </w:p>
    <w:p w:rsidR="0054199B" w:rsidRPr="0054199B" w:rsidRDefault="0054199B" w:rsidP="0054199B">
      <w:pPr>
        <w:autoSpaceDE w:val="0"/>
        <w:autoSpaceDN w:val="0"/>
        <w:adjustRightInd w:val="0"/>
        <w:spacing w:after="0" w:line="240" w:lineRule="auto"/>
        <w:rPr>
          <w:rFonts w:cs="DIN-Regular"/>
        </w:rPr>
      </w:pPr>
      <w:r w:rsidRPr="0054199B">
        <w:rPr>
          <w:rFonts w:cs="DIN-Regular"/>
        </w:rPr>
        <w:t>• Store in cool, dry conditions; ensure adequate ventilation during application</w:t>
      </w:r>
    </w:p>
    <w:p w:rsidR="0054199B" w:rsidRPr="0054199B" w:rsidRDefault="0054199B" w:rsidP="0054199B">
      <w:pPr>
        <w:autoSpaceDE w:val="0"/>
        <w:autoSpaceDN w:val="0"/>
        <w:adjustRightInd w:val="0"/>
        <w:spacing w:after="0" w:line="240" w:lineRule="auto"/>
        <w:rPr>
          <w:rFonts w:cs="DIN-Regular"/>
        </w:rPr>
      </w:pPr>
      <w:r w:rsidRPr="0054199B">
        <w:rPr>
          <w:rFonts w:cs="DIN-Regular"/>
        </w:rPr>
        <w:t>• Avoid contact with skin and eyes, wear suitable protective clothing’s such as overalls, goggles, dust masks and gloves. Flash Point: 40°C.</w:t>
      </w:r>
    </w:p>
    <w:p w:rsidR="0054199B" w:rsidRPr="0054199B" w:rsidRDefault="0054199B" w:rsidP="0054199B">
      <w:pPr>
        <w:autoSpaceDE w:val="0"/>
        <w:autoSpaceDN w:val="0"/>
        <w:adjustRightInd w:val="0"/>
        <w:spacing w:after="0" w:line="240" w:lineRule="auto"/>
        <w:rPr>
          <w:rFonts w:cs="DIN-Regular"/>
        </w:rPr>
      </w:pPr>
      <w:r w:rsidRPr="0054199B">
        <w:rPr>
          <w:rFonts w:cs="DIN-Regular"/>
        </w:rPr>
        <w:t>• Dispose in landfill only.</w:t>
      </w:r>
    </w:p>
    <w:p w:rsidR="0054199B" w:rsidRPr="0054199B" w:rsidRDefault="0054199B" w:rsidP="0054199B">
      <w:pPr>
        <w:autoSpaceDE w:val="0"/>
        <w:autoSpaceDN w:val="0"/>
        <w:adjustRightInd w:val="0"/>
        <w:spacing w:after="0" w:line="240" w:lineRule="auto"/>
        <w:rPr>
          <w:rFonts w:cs="DIN-Bold"/>
          <w:b/>
          <w:bCs/>
        </w:rPr>
      </w:pPr>
    </w:p>
    <w:p w:rsidR="0054199B" w:rsidRPr="0054199B" w:rsidRDefault="0054199B" w:rsidP="0054199B">
      <w:pPr>
        <w:autoSpaceDE w:val="0"/>
        <w:autoSpaceDN w:val="0"/>
        <w:adjustRightInd w:val="0"/>
        <w:spacing w:after="0" w:line="240" w:lineRule="auto"/>
        <w:rPr>
          <w:rFonts w:cs="DIN-Bold"/>
          <w:b/>
          <w:bCs/>
          <w:sz w:val="24"/>
          <w:szCs w:val="24"/>
        </w:rPr>
      </w:pPr>
      <w:r w:rsidRPr="0054199B">
        <w:rPr>
          <w:rFonts w:cs="DIN-Bold"/>
          <w:b/>
          <w:bCs/>
          <w:sz w:val="24"/>
          <w:szCs w:val="24"/>
        </w:rPr>
        <w:t>First-Aid</w:t>
      </w:r>
    </w:p>
    <w:p w:rsidR="0054199B" w:rsidRPr="0054199B" w:rsidRDefault="0054199B" w:rsidP="0054199B">
      <w:pPr>
        <w:autoSpaceDE w:val="0"/>
        <w:autoSpaceDN w:val="0"/>
        <w:adjustRightInd w:val="0"/>
        <w:spacing w:after="0" w:line="240" w:lineRule="auto"/>
        <w:rPr>
          <w:rFonts w:cs="DIN-Regular"/>
        </w:rPr>
      </w:pPr>
      <w:r w:rsidRPr="0054199B">
        <w:rPr>
          <w:rFonts w:cs="DIN-Regular"/>
        </w:rPr>
        <w:t>• Eyes: In the event of accidental splashes, flush eyes immediately with warm water and obtain medical advice.</w:t>
      </w:r>
    </w:p>
    <w:p w:rsidR="0054199B" w:rsidRPr="0054199B" w:rsidRDefault="0054199B" w:rsidP="0054199B">
      <w:pPr>
        <w:autoSpaceDE w:val="0"/>
        <w:autoSpaceDN w:val="0"/>
        <w:adjustRightInd w:val="0"/>
        <w:spacing w:after="0" w:line="240" w:lineRule="auto"/>
        <w:rPr>
          <w:rFonts w:cs="DIN-Regular"/>
        </w:rPr>
      </w:pPr>
      <w:r w:rsidRPr="0054199B">
        <w:rPr>
          <w:rFonts w:cs="DIN-Regular"/>
        </w:rPr>
        <w:t>• Skin: Wash skin thoroughly with soap and water, or with an approved industrial cleaner. Do not use solvents.</w:t>
      </w:r>
    </w:p>
    <w:p w:rsidR="0054199B" w:rsidRPr="0054199B" w:rsidRDefault="0054199B" w:rsidP="0054199B">
      <w:pPr>
        <w:autoSpaceDE w:val="0"/>
        <w:autoSpaceDN w:val="0"/>
        <w:adjustRightInd w:val="0"/>
        <w:spacing w:after="0" w:line="240" w:lineRule="auto"/>
        <w:rPr>
          <w:rFonts w:cs="DIN-Regular"/>
        </w:rPr>
      </w:pPr>
      <w:r w:rsidRPr="0054199B">
        <w:rPr>
          <w:rFonts w:cs="DIN-Regular"/>
        </w:rPr>
        <w:t>• Inhalation: Move patient to fresh air, loosen collar and keep patient rested.</w:t>
      </w:r>
    </w:p>
    <w:p w:rsidR="0054199B" w:rsidRPr="0054199B" w:rsidRDefault="0054199B" w:rsidP="0054199B">
      <w:pPr>
        <w:autoSpaceDE w:val="0"/>
        <w:autoSpaceDN w:val="0"/>
        <w:adjustRightInd w:val="0"/>
        <w:spacing w:after="0" w:line="240" w:lineRule="auto"/>
        <w:rPr>
          <w:rFonts w:cs="DIN-Regular"/>
        </w:rPr>
      </w:pPr>
      <w:r w:rsidRPr="0054199B">
        <w:rPr>
          <w:rFonts w:cs="DIN-Regular"/>
        </w:rPr>
        <w:t>• Ingestion: Do not induce vomiting. Obtain immediate medical attention.</w:t>
      </w:r>
    </w:p>
    <w:p w:rsidR="0054199B" w:rsidRPr="0054199B" w:rsidRDefault="0054199B" w:rsidP="0054199B">
      <w:pPr>
        <w:autoSpaceDE w:val="0"/>
        <w:autoSpaceDN w:val="0"/>
        <w:adjustRightInd w:val="0"/>
        <w:spacing w:after="0" w:line="240" w:lineRule="auto"/>
        <w:rPr>
          <w:rFonts w:cs="DIN-Regular"/>
        </w:rPr>
      </w:pPr>
      <w:r w:rsidRPr="0054199B">
        <w:rPr>
          <w:rFonts w:cs="DIN-Bold"/>
          <w:b/>
          <w:bCs/>
        </w:rPr>
        <w:t xml:space="preserve">NB: </w:t>
      </w:r>
      <w:r w:rsidRPr="0054199B">
        <w:rPr>
          <w:rFonts w:cs="DIN-Regular"/>
        </w:rPr>
        <w:t>The information reported in this technical data sheet comes from our best experience; however this does not involve any responsibility of our Company for applications of this product without our control.</w:t>
      </w:r>
    </w:p>
    <w:p w:rsidR="0054199B" w:rsidRPr="0054199B" w:rsidRDefault="0054199B" w:rsidP="0054199B">
      <w:pPr>
        <w:autoSpaceDE w:val="0"/>
        <w:autoSpaceDN w:val="0"/>
        <w:adjustRightInd w:val="0"/>
        <w:spacing w:after="0" w:line="240" w:lineRule="auto"/>
        <w:rPr>
          <w:rFonts w:cs="DIN-Bold"/>
          <w:b/>
          <w:bCs/>
        </w:rPr>
      </w:pPr>
    </w:p>
    <w:p w:rsidR="0054199B" w:rsidRPr="0054199B" w:rsidRDefault="0054199B" w:rsidP="0054199B">
      <w:pPr>
        <w:autoSpaceDE w:val="0"/>
        <w:autoSpaceDN w:val="0"/>
        <w:adjustRightInd w:val="0"/>
        <w:spacing w:after="0" w:line="240" w:lineRule="auto"/>
        <w:rPr>
          <w:rFonts w:cs="DIN-Bold"/>
          <w:b/>
          <w:bCs/>
          <w:sz w:val="24"/>
          <w:szCs w:val="24"/>
        </w:rPr>
      </w:pPr>
      <w:r w:rsidRPr="0054199B">
        <w:rPr>
          <w:rFonts w:cs="DIN-Bold"/>
          <w:b/>
          <w:bCs/>
          <w:sz w:val="24"/>
          <w:szCs w:val="24"/>
        </w:rPr>
        <w:t>Disclaimer</w:t>
      </w:r>
    </w:p>
    <w:p w:rsidR="008A63DF" w:rsidRPr="0054199B" w:rsidRDefault="00F059EE" w:rsidP="0054199B">
      <w:pPr>
        <w:autoSpaceDE w:val="0"/>
        <w:autoSpaceDN w:val="0"/>
        <w:adjustRightInd w:val="0"/>
        <w:spacing w:after="0" w:line="240" w:lineRule="auto"/>
        <w:rPr>
          <w:rFonts w:cs="DIN-RegularItalic"/>
          <w:i/>
          <w:iCs/>
        </w:rPr>
      </w:pPr>
      <w:r>
        <w:rPr>
          <w:rFonts w:cs="DIN-RegularItalic"/>
          <w:i/>
          <w:iCs/>
          <w:noProof/>
          <w:lang w:val="en-US"/>
        </w:rPr>
        <w:drawing>
          <wp:anchor distT="0" distB="0" distL="114300" distR="114300" simplePos="0" relativeHeight="251661312" behindDoc="1" locked="0" layoutInCell="1" allowOverlap="1">
            <wp:simplePos x="0" y="0"/>
            <wp:positionH relativeFrom="column">
              <wp:posOffset>-457200</wp:posOffset>
            </wp:positionH>
            <wp:positionV relativeFrom="paragraph">
              <wp:posOffset>2876550</wp:posOffset>
            </wp:positionV>
            <wp:extent cx="7553325" cy="485775"/>
            <wp:effectExtent l="19050" t="0" r="9525" b="0"/>
            <wp:wrapTight wrapText="bothSides">
              <wp:wrapPolygon edited="0">
                <wp:start x="-54" y="0"/>
                <wp:lineTo x="-54" y="21176"/>
                <wp:lineTo x="21627" y="21176"/>
                <wp:lineTo x="21627" y="0"/>
                <wp:lineTo x="-54" y="0"/>
              </wp:wrapPolygon>
            </wp:wrapTight>
            <wp:docPr id="48" name="Picture 1" descr="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jpg"/>
                    <pic:cNvPicPr/>
                  </pic:nvPicPr>
                  <pic:blipFill>
                    <a:blip r:embed="rId5" cstate="print"/>
                    <a:srcRect t="60811"/>
                    <a:stretch>
                      <a:fillRect/>
                    </a:stretch>
                  </pic:blipFill>
                  <pic:spPr>
                    <a:xfrm>
                      <a:off x="0" y="0"/>
                      <a:ext cx="7553325" cy="485775"/>
                    </a:xfrm>
                    <a:prstGeom prst="rect">
                      <a:avLst/>
                    </a:prstGeom>
                  </pic:spPr>
                </pic:pic>
              </a:graphicData>
            </a:graphic>
          </wp:anchor>
        </w:drawing>
      </w:r>
      <w:r w:rsidR="0054199B" w:rsidRPr="0054199B">
        <w:rPr>
          <w:rFonts w:cs="DIN-RegularItalic"/>
          <w:i/>
          <w:iCs/>
        </w:rPr>
        <w:t>The information provided in this data sheet is not intended to be complete. It is the responsibility of the user to ensure that the product used is suitable for the purpose it is meant to serve. In view of various factors affecting the performance of the coating, we cannot assume responsibility for the product performance, nor do we accept any liability arising from use of this product, unless specifically agreed to in writing by us. The information provided in the data sheet may be modified by us without notice.</w:t>
      </w:r>
    </w:p>
    <w:sectPr w:rsidR="008A63DF" w:rsidRPr="0054199B" w:rsidSect="008A63DF">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DIN-Bold">
    <w:panose1 w:val="00000000000000000000"/>
    <w:charset w:val="00"/>
    <w:family w:val="swiss"/>
    <w:notTrueType/>
    <w:pitch w:val="default"/>
    <w:sig w:usb0="00000003" w:usb1="00000000" w:usb2="00000000" w:usb3="00000000" w:csb0="00000001" w:csb1="00000000"/>
  </w:font>
  <w:font w:name="DIN-Regular">
    <w:panose1 w:val="00000000000000000000"/>
    <w:charset w:val="00"/>
    <w:family w:val="auto"/>
    <w:notTrueType/>
    <w:pitch w:val="default"/>
    <w:sig w:usb0="00000003" w:usb1="00000000" w:usb2="00000000" w:usb3="00000000" w:csb0="00000001" w:csb1="00000000"/>
  </w:font>
  <w:font w:name="DIN">
    <w:altName w:val="Times New Roman"/>
    <w:charset w:val="00"/>
    <w:family w:val="roman"/>
    <w:pitch w:val="variable"/>
    <w:sig w:usb0="00000000" w:usb1="00000000" w:usb2="00000000" w:usb3="00000000" w:csb0="00000000" w:csb1="00000000"/>
  </w:font>
  <w:font w:name="DIN-RegularAlternate">
    <w:altName w:val="Times New Roman"/>
    <w:charset w:val="00"/>
    <w:family w:val="roman"/>
    <w:pitch w:val="variable"/>
    <w:sig w:usb0="00000000" w:usb1="00000000" w:usb2="00000000" w:usb3="00000000" w:csb0="00000000" w:csb1="00000000"/>
  </w:font>
  <w:font w:name="DIN-RegularItalic">
    <w:altName w:val="Times New Roman"/>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8A63DF"/>
    <w:rsid w:val="000820C4"/>
    <w:rsid w:val="00211080"/>
    <w:rsid w:val="00287C83"/>
    <w:rsid w:val="00364AD4"/>
    <w:rsid w:val="0054199B"/>
    <w:rsid w:val="008A63DF"/>
    <w:rsid w:val="00E41B06"/>
    <w:rsid w:val="00EF3C35"/>
    <w:rsid w:val="00F059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20C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A63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599</Words>
  <Characters>3415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4</cp:revision>
  <dcterms:created xsi:type="dcterms:W3CDTF">2015-04-07T06:37:00Z</dcterms:created>
  <dcterms:modified xsi:type="dcterms:W3CDTF">2015-07-15T07:44:00Z</dcterms:modified>
</cp:coreProperties>
</file>