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15" w:rsidRPr="004C6115" w:rsidRDefault="00434255" w:rsidP="004C6115">
      <w:pPr>
        <w:jc w:val="center"/>
        <w:rPr>
          <w:rFonts w:cs="DIN-Bold"/>
          <w:b/>
          <w:bCs/>
          <w:sz w:val="28"/>
          <w:szCs w:val="28"/>
        </w:rPr>
      </w:pPr>
      <w:r w:rsidRPr="00434255">
        <w:rPr>
          <w:noProof/>
          <w:lang w:val="en-US"/>
        </w:rPr>
        <w:drawing>
          <wp:anchor distT="0" distB="0" distL="114300" distR="114300" simplePos="0" relativeHeight="251667456"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r w:rsidR="004C6115" w:rsidRPr="004C6115">
        <w:rPr>
          <w:rFonts w:cs="DIN-Bold"/>
          <w:b/>
          <w:bCs/>
          <w:sz w:val="28"/>
          <w:szCs w:val="28"/>
        </w:rPr>
        <w:t>TOUCHWOOD ACRYLIC PU TOP COATS - CLEAR (</w:t>
      </w:r>
      <w:r w:rsidR="0096788B">
        <w:rPr>
          <w:rFonts w:cs="DIN-Bold"/>
          <w:b/>
          <w:bCs/>
          <w:sz w:val="28"/>
          <w:szCs w:val="28"/>
        </w:rPr>
        <w:t>INT/</w:t>
      </w:r>
      <w:r w:rsidR="004C6115" w:rsidRPr="004C6115">
        <w:rPr>
          <w:rFonts w:cs="DIN-Bold"/>
          <w:b/>
          <w:bCs/>
          <w:sz w:val="28"/>
          <w:szCs w:val="28"/>
        </w:rPr>
        <w:t>EXT)</w:t>
      </w:r>
    </w:p>
    <w:p w:rsidR="004C6115" w:rsidRPr="004C6115" w:rsidRDefault="004C6115" w:rsidP="004C6115">
      <w:pPr>
        <w:autoSpaceDE w:val="0"/>
        <w:autoSpaceDN w:val="0"/>
        <w:adjustRightInd w:val="0"/>
        <w:spacing w:after="0" w:line="240" w:lineRule="auto"/>
        <w:ind w:left="567" w:right="651"/>
        <w:rPr>
          <w:rFonts w:cs="DIN-Bold"/>
          <w:b/>
          <w:bCs/>
          <w:sz w:val="24"/>
          <w:szCs w:val="24"/>
        </w:rPr>
      </w:pPr>
      <w:r w:rsidRPr="004C6115">
        <w:rPr>
          <w:rFonts w:cs="DIN-Bold"/>
          <w:b/>
          <w:bCs/>
          <w:sz w:val="24"/>
          <w:szCs w:val="24"/>
        </w:rPr>
        <w:t>Product Description</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Regular"/>
        </w:rPr>
        <w:t xml:space="preserve">Touchwood Acrylic Polyurethane Exterior wood finish is a premium quality two-pack composition based on acrylic resin </w:t>
      </w:r>
      <w:proofErr w:type="spellStart"/>
      <w:r w:rsidRPr="004C6115">
        <w:rPr>
          <w:rFonts w:cs="DIN-Regular"/>
        </w:rPr>
        <w:t>isocyanate</w:t>
      </w:r>
      <w:proofErr w:type="spellEnd"/>
      <w:r w:rsidRPr="004C6115">
        <w:rPr>
          <w:rFonts w:cs="DIN-Regular"/>
        </w:rPr>
        <w:t>. The product has been designed to withstand very aggressive physical and chemical environments like abrasion, heat, light, alcohol, tea hot beverages, nail enamel and almost all aliphatic aromatic solvents. This product outperforms any other conventional wood finish by many times both on short term as well as long term performance and it is available in pigmented and lacquer (Gloss/ Satin/ Matt) form. It is also highly resistant to yellowing. Touchwood Acrylic PU Sanding Sealer with Acrylic PU Top Coat (silk matt) is a FIRA Approved system.</w:t>
      </w:r>
    </w:p>
    <w:p w:rsidR="004C6115" w:rsidRPr="004C6115" w:rsidRDefault="004C6115" w:rsidP="004C6115">
      <w:pPr>
        <w:autoSpaceDE w:val="0"/>
        <w:autoSpaceDN w:val="0"/>
        <w:adjustRightInd w:val="0"/>
        <w:spacing w:after="0" w:line="240" w:lineRule="auto"/>
        <w:ind w:left="567" w:right="651"/>
        <w:rPr>
          <w:rFonts w:cs="DIN-Regular"/>
          <w:sz w:val="20"/>
          <w:szCs w:val="20"/>
        </w:rPr>
      </w:pPr>
    </w:p>
    <w:p w:rsidR="004C6115" w:rsidRPr="004C6115" w:rsidRDefault="004C6115" w:rsidP="004C6115">
      <w:pPr>
        <w:autoSpaceDE w:val="0"/>
        <w:autoSpaceDN w:val="0"/>
        <w:adjustRightInd w:val="0"/>
        <w:spacing w:after="0" w:line="240" w:lineRule="auto"/>
        <w:ind w:left="567" w:right="651"/>
        <w:rPr>
          <w:rFonts w:cs="DIN-Bold"/>
          <w:b/>
          <w:bCs/>
          <w:sz w:val="24"/>
          <w:szCs w:val="24"/>
        </w:rPr>
      </w:pPr>
      <w:r w:rsidRPr="004C6115">
        <w:rPr>
          <w:rFonts w:cs="DIN-Bold"/>
          <w:b/>
          <w:bCs/>
          <w:sz w:val="24"/>
          <w:szCs w:val="24"/>
        </w:rPr>
        <w:t>Recommended Areas of Application</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 xml:space="preserve">Area of Use: </w:t>
      </w:r>
      <w:r w:rsidRPr="004C6115">
        <w:rPr>
          <w:rFonts w:cs="DIN-Regular"/>
        </w:rPr>
        <w:t>Exterior.</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 xml:space="preserve">Substrate: </w:t>
      </w:r>
      <w:r w:rsidRPr="004C6115">
        <w:rPr>
          <w:rFonts w:cs="DIN-Regular"/>
        </w:rPr>
        <w:t>Natural wood, Wood substitutes like plywood, Particle board etc.</w:t>
      </w:r>
    </w:p>
    <w:p w:rsidR="004C6115" w:rsidRPr="004C6115" w:rsidRDefault="004C6115" w:rsidP="004C6115">
      <w:pPr>
        <w:autoSpaceDE w:val="0"/>
        <w:autoSpaceDN w:val="0"/>
        <w:adjustRightInd w:val="0"/>
        <w:spacing w:after="0" w:line="240" w:lineRule="auto"/>
        <w:ind w:left="567" w:right="651"/>
        <w:rPr>
          <w:rFonts w:cs="DIN-Bold"/>
          <w:b/>
          <w:bCs/>
          <w:sz w:val="20"/>
          <w:szCs w:val="20"/>
        </w:rPr>
      </w:pPr>
    </w:p>
    <w:p w:rsidR="004C6115" w:rsidRPr="004C6115" w:rsidRDefault="004C6115" w:rsidP="004C6115">
      <w:pPr>
        <w:autoSpaceDE w:val="0"/>
        <w:autoSpaceDN w:val="0"/>
        <w:adjustRightInd w:val="0"/>
        <w:spacing w:after="0" w:line="240" w:lineRule="auto"/>
        <w:ind w:left="567" w:right="651"/>
        <w:rPr>
          <w:rFonts w:cs="DIN-Bold"/>
          <w:b/>
          <w:bCs/>
          <w:sz w:val="24"/>
          <w:szCs w:val="24"/>
        </w:rPr>
      </w:pPr>
      <w:r w:rsidRPr="004C6115">
        <w:rPr>
          <w:rFonts w:cs="DIN-Bold"/>
          <w:b/>
          <w:bCs/>
          <w:sz w:val="24"/>
          <w:szCs w:val="24"/>
        </w:rPr>
        <w:t>Technical Data</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Finish</w:t>
      </w:r>
      <w:r w:rsidRPr="004C6115">
        <w:rPr>
          <w:rFonts w:cs="DIN-Bold"/>
          <w:b/>
          <w:bCs/>
        </w:rPr>
        <w:tab/>
      </w:r>
      <w:r w:rsidRPr="004C6115">
        <w:rPr>
          <w:rFonts w:cs="DIN-Bold"/>
          <w:b/>
          <w:bCs/>
        </w:rPr>
        <w:tab/>
      </w:r>
      <w:r w:rsidRPr="004C6115">
        <w:rPr>
          <w:rFonts w:cs="DIN-Bold"/>
          <w:b/>
          <w:bCs/>
        </w:rPr>
        <w:tab/>
      </w:r>
      <w:r w:rsidRPr="004C6115">
        <w:rPr>
          <w:rFonts w:cs="DIN-Bold"/>
          <w:b/>
          <w:bCs/>
        </w:rPr>
        <w:tab/>
        <w:t>:</w:t>
      </w:r>
      <w:r w:rsidRPr="004C6115">
        <w:rPr>
          <w:rFonts w:cs="DIN-Bold"/>
          <w:b/>
          <w:bCs/>
        </w:rPr>
        <w:tab/>
      </w:r>
      <w:r w:rsidRPr="004C6115">
        <w:rPr>
          <w:rFonts w:cs="DIN-Regular"/>
        </w:rPr>
        <w:t>Glossy, Satin and Matt</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Composition</w:t>
      </w:r>
      <w:r w:rsidRPr="004C6115">
        <w:rPr>
          <w:rFonts w:cs="DIN-Bold"/>
          <w:b/>
          <w:bCs/>
        </w:rPr>
        <w:tab/>
      </w:r>
      <w:r w:rsidRPr="004C6115">
        <w:rPr>
          <w:rFonts w:cs="DIN-Bold"/>
          <w:b/>
          <w:bCs/>
        </w:rPr>
        <w:tab/>
      </w:r>
      <w:r w:rsidRPr="004C6115">
        <w:rPr>
          <w:rFonts w:cs="DIN-Bold"/>
          <w:b/>
          <w:bCs/>
        </w:rPr>
        <w:tab/>
        <w:t>:</w:t>
      </w:r>
      <w:r w:rsidRPr="004C6115">
        <w:rPr>
          <w:rFonts w:cs="DIN-Bold"/>
          <w:b/>
          <w:bCs/>
        </w:rPr>
        <w:tab/>
      </w:r>
      <w:r w:rsidRPr="004C6115">
        <w:rPr>
          <w:rFonts w:cs="DIN-Regular"/>
        </w:rPr>
        <w:t xml:space="preserve">Acrylic </w:t>
      </w:r>
      <w:proofErr w:type="spellStart"/>
      <w:r w:rsidRPr="004C6115">
        <w:rPr>
          <w:rFonts w:cs="DIN-Regular"/>
        </w:rPr>
        <w:t>Polyol</w:t>
      </w:r>
      <w:proofErr w:type="spellEnd"/>
      <w:r w:rsidRPr="004C6115">
        <w:rPr>
          <w:rFonts w:cs="DIN-Regular"/>
        </w:rPr>
        <w:t xml:space="preserve"> cured with Aliphatic </w:t>
      </w:r>
      <w:proofErr w:type="spellStart"/>
      <w:r w:rsidRPr="004C6115">
        <w:rPr>
          <w:rFonts w:cs="DIN-Regular"/>
        </w:rPr>
        <w:t>Isocyanate</w:t>
      </w:r>
      <w:proofErr w:type="spellEnd"/>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Mixing Ratio</w:t>
      </w:r>
      <w:r w:rsidRPr="004C6115">
        <w:rPr>
          <w:rFonts w:cs="DIN-Bold"/>
          <w:b/>
          <w:bCs/>
        </w:rPr>
        <w:tab/>
      </w:r>
      <w:r w:rsidRPr="004C6115">
        <w:rPr>
          <w:rFonts w:cs="DIN-Bold"/>
          <w:b/>
          <w:bCs/>
        </w:rPr>
        <w:tab/>
      </w:r>
      <w:r w:rsidRPr="004C6115">
        <w:rPr>
          <w:rFonts w:cs="DIN-Bold"/>
          <w:b/>
          <w:bCs/>
        </w:rPr>
        <w:tab/>
        <w:t xml:space="preserve">: </w:t>
      </w:r>
      <w:r w:rsidRPr="004C6115">
        <w:rPr>
          <w:rFonts w:cs="DIN-Bold"/>
          <w:b/>
          <w:bCs/>
        </w:rPr>
        <w:tab/>
      </w:r>
      <w:r w:rsidRPr="004C6115">
        <w:rPr>
          <w:rFonts w:cs="DIN-Regular"/>
        </w:rPr>
        <w:t>As per pack size</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 Solids (NVM)</w:t>
      </w:r>
      <w:r w:rsidRPr="004C6115">
        <w:rPr>
          <w:rFonts w:cs="DIN-Bold"/>
          <w:b/>
          <w:bCs/>
        </w:rPr>
        <w:tab/>
      </w:r>
      <w:r w:rsidRPr="004C6115">
        <w:rPr>
          <w:rFonts w:cs="DIN-Bold"/>
          <w:b/>
          <w:bCs/>
        </w:rPr>
        <w:tab/>
      </w:r>
      <w:r w:rsidRPr="004C6115">
        <w:rPr>
          <w:rFonts w:cs="DIN-Bold"/>
          <w:b/>
          <w:bCs/>
        </w:rPr>
        <w:tab/>
        <w:t xml:space="preserve">: </w:t>
      </w:r>
      <w:r w:rsidRPr="004C6115">
        <w:rPr>
          <w:rFonts w:cs="DIN-Bold"/>
          <w:b/>
          <w:bCs/>
        </w:rPr>
        <w:tab/>
      </w:r>
      <w:r w:rsidRPr="004C6115">
        <w:rPr>
          <w:rFonts w:cs="DIN-Regular"/>
        </w:rPr>
        <w:t>43±2%</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Pot life of the mixture</w:t>
      </w:r>
      <w:r w:rsidRPr="004C6115">
        <w:rPr>
          <w:rFonts w:cs="DIN-Bold"/>
          <w:b/>
          <w:bCs/>
        </w:rPr>
        <w:tab/>
      </w:r>
      <w:r w:rsidRPr="004C6115">
        <w:rPr>
          <w:rFonts w:cs="DIN-Bold"/>
          <w:b/>
          <w:bCs/>
        </w:rPr>
        <w:tab/>
        <w:t xml:space="preserve">: </w:t>
      </w:r>
      <w:r w:rsidRPr="004C6115">
        <w:rPr>
          <w:rFonts w:cs="DIN-Bold"/>
          <w:b/>
          <w:bCs/>
        </w:rPr>
        <w:tab/>
      </w:r>
      <w:r w:rsidRPr="004C6115">
        <w:rPr>
          <w:rFonts w:cs="DIN-Regular"/>
        </w:rPr>
        <w:t xml:space="preserve">4–5 </w:t>
      </w:r>
      <w:proofErr w:type="spellStart"/>
      <w:r w:rsidRPr="004C6115">
        <w:rPr>
          <w:rFonts w:cs="DIN-Regular"/>
        </w:rPr>
        <w:t>hrs.at</w:t>
      </w:r>
      <w:proofErr w:type="spellEnd"/>
      <w:r w:rsidRPr="004C6115">
        <w:rPr>
          <w:rFonts w:cs="DIN-Regular"/>
        </w:rPr>
        <w:t xml:space="preserve"> 30°C</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Pack Size</w:t>
      </w:r>
      <w:r w:rsidRPr="004C6115">
        <w:rPr>
          <w:rFonts w:cs="DIN-Bold"/>
          <w:b/>
          <w:bCs/>
        </w:rPr>
        <w:tab/>
      </w:r>
      <w:r w:rsidRPr="004C6115">
        <w:rPr>
          <w:rFonts w:cs="DIN-Bold"/>
          <w:b/>
          <w:bCs/>
        </w:rPr>
        <w:tab/>
      </w:r>
      <w:r w:rsidRPr="004C6115">
        <w:rPr>
          <w:rFonts w:cs="DIN-Bold"/>
          <w:b/>
          <w:bCs/>
        </w:rPr>
        <w:tab/>
      </w:r>
      <w:r>
        <w:rPr>
          <w:rFonts w:cs="DIN-Bold"/>
          <w:b/>
          <w:bCs/>
        </w:rPr>
        <w:tab/>
      </w:r>
      <w:r w:rsidRPr="004C6115">
        <w:rPr>
          <w:rFonts w:cs="DIN-Bold"/>
          <w:b/>
          <w:bCs/>
        </w:rPr>
        <w:t xml:space="preserve">: </w:t>
      </w:r>
      <w:r w:rsidRPr="004C6115">
        <w:rPr>
          <w:rFonts w:cs="DIN-Bold"/>
          <w:b/>
          <w:bCs/>
        </w:rPr>
        <w:tab/>
      </w:r>
      <w:r w:rsidRPr="004C6115">
        <w:rPr>
          <w:rFonts w:cs="DIN-Regular"/>
        </w:rPr>
        <w:t>1USG, 5USG</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Theoretical Coverage</w:t>
      </w:r>
      <w:r w:rsidRPr="004C6115">
        <w:rPr>
          <w:rFonts w:cs="DIN-Bold"/>
          <w:b/>
          <w:bCs/>
        </w:rPr>
        <w:tab/>
      </w:r>
      <w:r w:rsidRPr="004C6115">
        <w:rPr>
          <w:rFonts w:cs="DIN-Bold"/>
          <w:b/>
          <w:bCs/>
        </w:rPr>
        <w:tab/>
        <w:t xml:space="preserve">: </w:t>
      </w:r>
      <w:r w:rsidRPr="004C6115">
        <w:rPr>
          <w:rFonts w:cs="DIN-Bold"/>
          <w:b/>
          <w:bCs/>
        </w:rPr>
        <w:tab/>
      </w:r>
      <w:r w:rsidRPr="004C6115">
        <w:rPr>
          <w:rFonts w:cs="DIN-Regular"/>
        </w:rPr>
        <w:t>11.2–12.8Sqm/Lt@25μDFT</w:t>
      </w:r>
    </w:p>
    <w:p w:rsidR="004C6115" w:rsidRPr="004C6115" w:rsidRDefault="004C6115" w:rsidP="004C6115">
      <w:pPr>
        <w:autoSpaceDE w:val="0"/>
        <w:autoSpaceDN w:val="0"/>
        <w:adjustRightInd w:val="0"/>
        <w:spacing w:after="0" w:line="240" w:lineRule="auto"/>
        <w:ind w:left="567" w:right="651"/>
        <w:rPr>
          <w:rFonts w:cs="DIN-Regular"/>
        </w:rPr>
      </w:pPr>
      <w:r w:rsidRPr="004C6115">
        <w:rPr>
          <w:rFonts w:cs="DIN-Bold"/>
          <w:b/>
          <w:bCs/>
        </w:rPr>
        <w:t>Practical Coverage</w:t>
      </w:r>
      <w:r w:rsidRPr="004C6115">
        <w:rPr>
          <w:rFonts w:cs="DIN-Bold"/>
          <w:b/>
          <w:bCs/>
        </w:rPr>
        <w:tab/>
      </w:r>
      <w:r w:rsidRPr="004C6115">
        <w:rPr>
          <w:rFonts w:cs="DIN-Bold"/>
          <w:b/>
          <w:bCs/>
        </w:rPr>
        <w:tab/>
        <w:t xml:space="preserve">: </w:t>
      </w:r>
      <w:r w:rsidRPr="004C6115">
        <w:rPr>
          <w:rFonts w:cs="DIN-Bold"/>
          <w:b/>
          <w:bCs/>
        </w:rPr>
        <w:tab/>
      </w:r>
      <w:r w:rsidRPr="004C6115">
        <w:rPr>
          <w:rFonts w:cs="DIN-Regular"/>
        </w:rPr>
        <w:t xml:space="preserve">Practical coverage may depend upon surface profile, method of </w:t>
      </w:r>
    </w:p>
    <w:p w:rsidR="004C6115" w:rsidRDefault="004C6115" w:rsidP="004C6115">
      <w:pPr>
        <w:autoSpaceDE w:val="0"/>
        <w:autoSpaceDN w:val="0"/>
        <w:adjustRightInd w:val="0"/>
        <w:spacing w:after="0" w:line="240" w:lineRule="auto"/>
        <w:ind w:left="4167" w:right="651" w:firstLine="153"/>
        <w:rPr>
          <w:rFonts w:cs="DIN-Regular"/>
        </w:rPr>
      </w:pPr>
      <w:proofErr w:type="gramStart"/>
      <w:r w:rsidRPr="004C6115">
        <w:rPr>
          <w:rFonts w:cs="DIN-Regular"/>
        </w:rPr>
        <w:t>application</w:t>
      </w:r>
      <w:proofErr w:type="gramEnd"/>
      <w:r w:rsidRPr="004C6115">
        <w:rPr>
          <w:rFonts w:cs="DIN-Regular"/>
        </w:rPr>
        <w:t xml:space="preserve"> and weather conditions.</w:t>
      </w:r>
    </w:p>
    <w:p w:rsidR="004C6115" w:rsidRPr="004C6115" w:rsidRDefault="004C6115" w:rsidP="004C6115">
      <w:pPr>
        <w:autoSpaceDE w:val="0"/>
        <w:autoSpaceDN w:val="0"/>
        <w:adjustRightInd w:val="0"/>
        <w:spacing w:after="0" w:line="240" w:lineRule="auto"/>
        <w:ind w:left="2880" w:firstLine="720"/>
        <w:rPr>
          <w:rFonts w:cs="DIN-Regular"/>
        </w:rPr>
      </w:pPr>
    </w:p>
    <w:tbl>
      <w:tblPr>
        <w:tblStyle w:val="TableGrid"/>
        <w:tblpPr w:leftFromText="180" w:rightFromText="180" w:vertAnchor="text" w:horzAnchor="margin" w:tblpXSpec="center" w:tblpY="26"/>
        <w:tblW w:w="0" w:type="auto"/>
        <w:tblLayout w:type="fixed"/>
        <w:tblLook w:val="04A0"/>
      </w:tblPr>
      <w:tblGrid>
        <w:gridCol w:w="1525"/>
        <w:gridCol w:w="1560"/>
        <w:gridCol w:w="1701"/>
        <w:gridCol w:w="1843"/>
        <w:gridCol w:w="1559"/>
        <w:gridCol w:w="1418"/>
      </w:tblGrid>
      <w:tr w:rsidR="004C6115" w:rsidRPr="004C6115" w:rsidTr="009F7334">
        <w:trPr>
          <w:trHeight w:val="256"/>
        </w:trPr>
        <w:tc>
          <w:tcPr>
            <w:tcW w:w="1525" w:type="dxa"/>
            <w:vMerge w:val="restart"/>
          </w:tcPr>
          <w:p w:rsidR="004C6115" w:rsidRPr="004C6115" w:rsidRDefault="004C6115" w:rsidP="004C6115">
            <w:pPr>
              <w:autoSpaceDE w:val="0"/>
              <w:autoSpaceDN w:val="0"/>
              <w:adjustRightInd w:val="0"/>
              <w:ind w:right="33"/>
              <w:rPr>
                <w:rFonts w:cs="DIN-Regular"/>
              </w:rPr>
            </w:pPr>
            <w:r w:rsidRPr="004C6115">
              <w:rPr>
                <w:rFonts w:cs="DIN-Regular"/>
                <w:b/>
                <w:bCs/>
              </w:rPr>
              <w:t>Drying time @ 30°C</w:t>
            </w:r>
          </w:p>
        </w:tc>
        <w:tc>
          <w:tcPr>
            <w:tcW w:w="1560" w:type="dxa"/>
          </w:tcPr>
          <w:p w:rsidR="004C6115" w:rsidRPr="004C6115" w:rsidRDefault="004C6115" w:rsidP="004C6115">
            <w:pPr>
              <w:autoSpaceDE w:val="0"/>
              <w:autoSpaceDN w:val="0"/>
              <w:adjustRightInd w:val="0"/>
              <w:ind w:right="34"/>
              <w:rPr>
                <w:rFonts w:cs="DIN-Regular"/>
              </w:rPr>
            </w:pPr>
            <w:r w:rsidRPr="004C6115">
              <w:rPr>
                <w:rFonts w:cs="DIN-Regular"/>
              </w:rPr>
              <w:t>Surface Dry</w:t>
            </w:r>
          </w:p>
        </w:tc>
        <w:tc>
          <w:tcPr>
            <w:tcW w:w="1701" w:type="dxa"/>
          </w:tcPr>
          <w:p w:rsidR="004C6115" w:rsidRPr="004C6115" w:rsidRDefault="004C6115" w:rsidP="009F7334">
            <w:pPr>
              <w:autoSpaceDE w:val="0"/>
              <w:autoSpaceDN w:val="0"/>
              <w:adjustRightInd w:val="0"/>
              <w:ind w:right="459"/>
              <w:rPr>
                <w:rFonts w:cs="DIN-Regular"/>
              </w:rPr>
            </w:pPr>
            <w:r w:rsidRPr="004C6115">
              <w:rPr>
                <w:rFonts w:cs="DIN-Regular"/>
              </w:rPr>
              <w:t>Touch Dry</w:t>
            </w:r>
          </w:p>
        </w:tc>
        <w:tc>
          <w:tcPr>
            <w:tcW w:w="1843" w:type="dxa"/>
          </w:tcPr>
          <w:p w:rsidR="004C6115" w:rsidRPr="004C6115" w:rsidRDefault="004C6115" w:rsidP="009F7334">
            <w:pPr>
              <w:autoSpaceDE w:val="0"/>
              <w:autoSpaceDN w:val="0"/>
              <w:adjustRightInd w:val="0"/>
              <w:ind w:right="317"/>
              <w:rPr>
                <w:rFonts w:cs="DIN-Regular"/>
              </w:rPr>
            </w:pPr>
            <w:proofErr w:type="spellStart"/>
            <w:r w:rsidRPr="004C6115">
              <w:rPr>
                <w:rFonts w:cs="DIN-Regular"/>
              </w:rPr>
              <w:t>Sandable</w:t>
            </w:r>
            <w:proofErr w:type="spellEnd"/>
            <w:r w:rsidRPr="004C6115">
              <w:rPr>
                <w:rFonts w:cs="DIN-Regular"/>
              </w:rPr>
              <w:t xml:space="preserve"> Dry</w:t>
            </w:r>
          </w:p>
        </w:tc>
        <w:tc>
          <w:tcPr>
            <w:tcW w:w="1559" w:type="dxa"/>
          </w:tcPr>
          <w:p w:rsidR="004C6115" w:rsidRPr="004C6115" w:rsidRDefault="004C6115" w:rsidP="009F7334">
            <w:pPr>
              <w:autoSpaceDE w:val="0"/>
              <w:autoSpaceDN w:val="0"/>
              <w:adjustRightInd w:val="0"/>
              <w:ind w:right="175"/>
              <w:rPr>
                <w:rFonts w:cs="DIN-Regular"/>
              </w:rPr>
            </w:pPr>
            <w:proofErr w:type="spellStart"/>
            <w:r w:rsidRPr="004C6115">
              <w:rPr>
                <w:rFonts w:cs="DIN-Regular"/>
              </w:rPr>
              <w:t>Recoatability</w:t>
            </w:r>
            <w:proofErr w:type="spellEnd"/>
          </w:p>
        </w:tc>
        <w:tc>
          <w:tcPr>
            <w:tcW w:w="1418" w:type="dxa"/>
          </w:tcPr>
          <w:p w:rsidR="004C6115" w:rsidRPr="004C6115" w:rsidRDefault="004C6115" w:rsidP="009F7334">
            <w:pPr>
              <w:autoSpaceDE w:val="0"/>
              <w:autoSpaceDN w:val="0"/>
              <w:adjustRightInd w:val="0"/>
              <w:ind w:right="176"/>
              <w:rPr>
                <w:rFonts w:cs="DIN-Regular"/>
              </w:rPr>
            </w:pPr>
            <w:r w:rsidRPr="004C6115">
              <w:rPr>
                <w:rFonts w:cs="DIN-Regular"/>
              </w:rPr>
              <w:t>Hard Dry</w:t>
            </w:r>
          </w:p>
        </w:tc>
      </w:tr>
      <w:tr w:rsidR="004C6115" w:rsidRPr="004C6115" w:rsidTr="009F7334">
        <w:trPr>
          <w:trHeight w:val="159"/>
        </w:trPr>
        <w:tc>
          <w:tcPr>
            <w:tcW w:w="1525" w:type="dxa"/>
            <w:vMerge/>
          </w:tcPr>
          <w:p w:rsidR="004C6115" w:rsidRPr="004C6115" w:rsidRDefault="004C6115" w:rsidP="004C6115">
            <w:pPr>
              <w:autoSpaceDE w:val="0"/>
              <w:autoSpaceDN w:val="0"/>
              <w:adjustRightInd w:val="0"/>
              <w:ind w:right="651"/>
              <w:rPr>
                <w:rFonts w:cs="DIN-Regular"/>
              </w:rPr>
            </w:pPr>
          </w:p>
        </w:tc>
        <w:tc>
          <w:tcPr>
            <w:tcW w:w="1560" w:type="dxa"/>
          </w:tcPr>
          <w:p w:rsidR="004C6115" w:rsidRPr="004C6115" w:rsidRDefault="004C6115" w:rsidP="004C6115">
            <w:pPr>
              <w:autoSpaceDE w:val="0"/>
              <w:autoSpaceDN w:val="0"/>
              <w:adjustRightInd w:val="0"/>
              <w:ind w:right="651"/>
              <w:rPr>
                <w:rFonts w:cs="DIN-Regular"/>
              </w:rPr>
            </w:pPr>
            <w:r w:rsidRPr="004C6115">
              <w:rPr>
                <w:rFonts w:cs="DIN-Regular"/>
              </w:rPr>
              <w:t>1 hour</w:t>
            </w:r>
          </w:p>
        </w:tc>
        <w:tc>
          <w:tcPr>
            <w:tcW w:w="1701" w:type="dxa"/>
          </w:tcPr>
          <w:p w:rsidR="004C6115" w:rsidRPr="004C6115" w:rsidRDefault="004C6115" w:rsidP="004C6115">
            <w:pPr>
              <w:autoSpaceDE w:val="0"/>
              <w:autoSpaceDN w:val="0"/>
              <w:adjustRightInd w:val="0"/>
              <w:ind w:right="651"/>
              <w:rPr>
                <w:rFonts w:cs="DIN-Regular"/>
              </w:rPr>
            </w:pPr>
            <w:r w:rsidRPr="004C6115">
              <w:rPr>
                <w:rFonts w:cs="DIN-Regular"/>
              </w:rPr>
              <w:t>2 hours</w:t>
            </w:r>
          </w:p>
        </w:tc>
        <w:tc>
          <w:tcPr>
            <w:tcW w:w="1843" w:type="dxa"/>
          </w:tcPr>
          <w:p w:rsidR="004C6115" w:rsidRPr="004C6115" w:rsidRDefault="004C6115" w:rsidP="004C6115">
            <w:pPr>
              <w:autoSpaceDE w:val="0"/>
              <w:autoSpaceDN w:val="0"/>
              <w:adjustRightInd w:val="0"/>
              <w:ind w:right="651"/>
              <w:rPr>
                <w:rFonts w:cs="DIN-Regular"/>
              </w:rPr>
            </w:pPr>
            <w:r w:rsidRPr="004C6115">
              <w:rPr>
                <w:rFonts w:cs="DIN-Regular"/>
              </w:rPr>
              <w:t>5 hours</w:t>
            </w:r>
          </w:p>
        </w:tc>
        <w:tc>
          <w:tcPr>
            <w:tcW w:w="1559" w:type="dxa"/>
          </w:tcPr>
          <w:p w:rsidR="004C6115" w:rsidRPr="004C6115" w:rsidRDefault="004C6115" w:rsidP="009F7334">
            <w:pPr>
              <w:autoSpaceDE w:val="0"/>
              <w:autoSpaceDN w:val="0"/>
              <w:adjustRightInd w:val="0"/>
              <w:ind w:right="317"/>
              <w:rPr>
                <w:rFonts w:cs="DIN-Regular"/>
              </w:rPr>
            </w:pPr>
            <w:r w:rsidRPr="004C6115">
              <w:rPr>
                <w:rFonts w:cs="DIN-Regular"/>
              </w:rPr>
              <w:t>6-8 hours</w:t>
            </w:r>
          </w:p>
        </w:tc>
        <w:tc>
          <w:tcPr>
            <w:tcW w:w="1418" w:type="dxa"/>
          </w:tcPr>
          <w:p w:rsidR="004C6115" w:rsidRPr="004C6115" w:rsidRDefault="004C6115" w:rsidP="009F7334">
            <w:pPr>
              <w:autoSpaceDE w:val="0"/>
              <w:autoSpaceDN w:val="0"/>
              <w:adjustRightInd w:val="0"/>
              <w:ind w:right="318"/>
              <w:rPr>
                <w:rFonts w:cs="DIN-Regular"/>
              </w:rPr>
            </w:pPr>
            <w:r w:rsidRPr="004C6115">
              <w:rPr>
                <w:rFonts w:cs="DIN-Regular"/>
              </w:rPr>
              <w:t>7 days</w:t>
            </w:r>
          </w:p>
        </w:tc>
      </w:tr>
    </w:tbl>
    <w:p w:rsidR="004C6115" w:rsidRDefault="004C6115" w:rsidP="004C6115">
      <w:pPr>
        <w:autoSpaceDE w:val="0"/>
        <w:autoSpaceDN w:val="0"/>
        <w:adjustRightInd w:val="0"/>
        <w:spacing w:after="0" w:line="240" w:lineRule="auto"/>
        <w:rPr>
          <w:rFonts w:ascii="DIN-Regular" w:hAnsi="DIN-Regular" w:cs="DIN-Regular"/>
          <w:color w:val="333333"/>
          <w:sz w:val="20"/>
          <w:szCs w:val="20"/>
        </w:rPr>
      </w:pPr>
    </w:p>
    <w:p w:rsidR="004C6115" w:rsidRDefault="004C6115" w:rsidP="004C6115">
      <w:pPr>
        <w:autoSpaceDE w:val="0"/>
        <w:autoSpaceDN w:val="0"/>
        <w:adjustRightInd w:val="0"/>
        <w:spacing w:after="0" w:line="240" w:lineRule="auto"/>
        <w:rPr>
          <w:rFonts w:ascii="DIN-Regular" w:hAnsi="DIN-Regular" w:cs="DIN-Regular"/>
          <w:color w:val="333333"/>
          <w:sz w:val="20"/>
          <w:szCs w:val="20"/>
        </w:rPr>
      </w:pPr>
    </w:p>
    <w:p w:rsidR="004C6115" w:rsidRDefault="004C6115" w:rsidP="004C6115">
      <w:pPr>
        <w:autoSpaceDE w:val="0"/>
        <w:autoSpaceDN w:val="0"/>
        <w:adjustRightInd w:val="0"/>
        <w:spacing w:after="0" w:line="240" w:lineRule="auto"/>
        <w:ind w:left="284" w:right="651"/>
        <w:rPr>
          <w:rFonts w:ascii="DIN-Regular" w:hAnsi="DIN-Regular" w:cs="DIN-Regular"/>
          <w:color w:val="333333"/>
          <w:sz w:val="20"/>
          <w:szCs w:val="20"/>
        </w:rPr>
      </w:pPr>
    </w:p>
    <w:p w:rsidR="009F7334" w:rsidRDefault="009F7334" w:rsidP="004C6115">
      <w:pPr>
        <w:autoSpaceDE w:val="0"/>
        <w:autoSpaceDN w:val="0"/>
        <w:adjustRightInd w:val="0"/>
        <w:spacing w:after="0" w:line="240" w:lineRule="auto"/>
        <w:ind w:left="284" w:right="651"/>
        <w:rPr>
          <w:rFonts w:ascii="DIN-Regular" w:hAnsi="DIN-Regular" w:cs="DIN-Regular"/>
          <w:color w:val="333333"/>
          <w:sz w:val="20"/>
          <w:szCs w:val="20"/>
        </w:rPr>
      </w:pPr>
    </w:p>
    <w:p w:rsidR="009F7334" w:rsidRPr="009F7334" w:rsidRDefault="009F7334" w:rsidP="009F7334">
      <w:pPr>
        <w:autoSpaceDE w:val="0"/>
        <w:autoSpaceDN w:val="0"/>
        <w:adjustRightInd w:val="0"/>
        <w:spacing w:after="0" w:line="240" w:lineRule="auto"/>
        <w:ind w:left="567" w:right="651"/>
        <w:rPr>
          <w:rFonts w:cs="DIN-Bold"/>
          <w:b/>
          <w:bCs/>
          <w:sz w:val="24"/>
          <w:szCs w:val="24"/>
        </w:rPr>
      </w:pPr>
      <w:r w:rsidRPr="009F7334">
        <w:rPr>
          <w:rFonts w:cs="DIN-Bold"/>
          <w:b/>
          <w:bCs/>
          <w:sz w:val="24"/>
          <w:szCs w:val="24"/>
        </w:rPr>
        <w:t>Application Data</w:t>
      </w:r>
    </w:p>
    <w:p w:rsidR="009F7334" w:rsidRPr="009F7334" w:rsidRDefault="009F7334" w:rsidP="009F7334">
      <w:pPr>
        <w:autoSpaceDE w:val="0"/>
        <w:autoSpaceDN w:val="0"/>
        <w:adjustRightInd w:val="0"/>
        <w:spacing w:after="0" w:line="240" w:lineRule="auto"/>
        <w:ind w:left="567" w:right="651"/>
        <w:rPr>
          <w:rFonts w:cs="DIN-Regular"/>
        </w:rPr>
      </w:pPr>
      <w:r w:rsidRPr="009F7334">
        <w:rPr>
          <w:rFonts w:cs="DIN-Bold"/>
          <w:b/>
          <w:bCs/>
        </w:rPr>
        <w:t>Method of application</w:t>
      </w:r>
      <w:r w:rsidRPr="009F7334">
        <w:rPr>
          <w:rFonts w:cs="DIN-Bold"/>
          <w:b/>
          <w:bCs/>
        </w:rPr>
        <w:tab/>
      </w:r>
      <w:r w:rsidRPr="009F7334">
        <w:rPr>
          <w:rFonts w:cs="DIN-Bold"/>
          <w:b/>
          <w:bCs/>
        </w:rPr>
        <w:tab/>
        <w:t>:</w:t>
      </w:r>
      <w:r w:rsidRPr="009F7334">
        <w:rPr>
          <w:rFonts w:cs="DIN-Bold"/>
          <w:b/>
          <w:bCs/>
        </w:rPr>
        <w:tab/>
      </w:r>
      <w:r w:rsidRPr="009F7334">
        <w:rPr>
          <w:rFonts w:cs="DIN-Regular"/>
        </w:rPr>
        <w:t>Conventional spray at a viscosity of 20-22 Sec</w:t>
      </w:r>
    </w:p>
    <w:p w:rsidR="009F7334" w:rsidRPr="009F7334" w:rsidRDefault="009F7334" w:rsidP="009F7334">
      <w:pPr>
        <w:autoSpaceDE w:val="0"/>
        <w:autoSpaceDN w:val="0"/>
        <w:adjustRightInd w:val="0"/>
        <w:spacing w:after="0" w:line="240" w:lineRule="auto"/>
        <w:ind w:left="567" w:right="651"/>
        <w:rPr>
          <w:rFonts w:cs="DIN-Regular"/>
        </w:rPr>
      </w:pPr>
      <w:r w:rsidRPr="009F7334">
        <w:rPr>
          <w:rFonts w:cs="DIN-Bold"/>
          <w:b/>
          <w:bCs/>
        </w:rPr>
        <w:t>Thinner</w:t>
      </w:r>
      <w:r w:rsidRPr="009F7334">
        <w:rPr>
          <w:rFonts w:cs="DIN-Bold"/>
          <w:b/>
          <w:bCs/>
        </w:rPr>
        <w:tab/>
      </w:r>
      <w:r w:rsidRPr="009F7334">
        <w:rPr>
          <w:rFonts w:cs="DIN-Bold"/>
          <w:b/>
          <w:bCs/>
        </w:rPr>
        <w:tab/>
      </w:r>
      <w:r w:rsidRPr="009F7334">
        <w:rPr>
          <w:rFonts w:cs="DIN-Bold"/>
          <w:b/>
          <w:bCs/>
        </w:rPr>
        <w:tab/>
      </w:r>
      <w:r w:rsidRPr="009F7334">
        <w:rPr>
          <w:rFonts w:cs="DIN-Bold"/>
          <w:b/>
          <w:bCs/>
        </w:rPr>
        <w:tab/>
        <w:t>:</w:t>
      </w:r>
      <w:r w:rsidRPr="009F7334">
        <w:rPr>
          <w:rFonts w:cs="DIN-Bold"/>
          <w:b/>
          <w:bCs/>
        </w:rPr>
        <w:tab/>
      </w:r>
      <w:r w:rsidRPr="009F7334">
        <w:rPr>
          <w:rFonts w:cs="DIN-Regular"/>
        </w:rPr>
        <w:t>Touchwood Acrylic P.U. Thinner</w:t>
      </w:r>
    </w:p>
    <w:p w:rsidR="009F7334" w:rsidRPr="009F7334" w:rsidRDefault="009F7334" w:rsidP="009F7334">
      <w:pPr>
        <w:autoSpaceDE w:val="0"/>
        <w:autoSpaceDN w:val="0"/>
        <w:adjustRightInd w:val="0"/>
        <w:spacing w:after="0" w:line="240" w:lineRule="auto"/>
        <w:ind w:left="567" w:right="651"/>
        <w:rPr>
          <w:rFonts w:cs="DIN-Regular"/>
        </w:rPr>
      </w:pPr>
      <w:proofErr w:type="gramStart"/>
      <w:r w:rsidRPr="009F7334">
        <w:rPr>
          <w:rFonts w:cs="DIN-Bold"/>
          <w:b/>
          <w:bCs/>
        </w:rPr>
        <w:t>Thinning ratio (by vol.)</w:t>
      </w:r>
      <w:proofErr w:type="gramEnd"/>
      <w:r w:rsidRPr="009F7334">
        <w:rPr>
          <w:rFonts w:cs="DIN-Bold"/>
          <w:b/>
          <w:bCs/>
        </w:rPr>
        <w:tab/>
      </w:r>
      <w:r w:rsidRPr="009F7334">
        <w:rPr>
          <w:rFonts w:cs="DIN-Bold"/>
          <w:b/>
          <w:bCs/>
        </w:rPr>
        <w:tab/>
        <w:t>:</w:t>
      </w:r>
      <w:r w:rsidRPr="009F7334">
        <w:rPr>
          <w:rFonts w:cs="DIN-Bold"/>
          <w:b/>
          <w:bCs/>
        </w:rPr>
        <w:tab/>
      </w:r>
      <w:r w:rsidRPr="009F7334">
        <w:rPr>
          <w:rFonts w:cs="DIN-Regular"/>
        </w:rPr>
        <w:t>30 – 35 % by Volume</w:t>
      </w:r>
    </w:p>
    <w:p w:rsidR="009F7334" w:rsidRPr="009F7334" w:rsidRDefault="009F7334" w:rsidP="009F7334">
      <w:pPr>
        <w:autoSpaceDE w:val="0"/>
        <w:autoSpaceDN w:val="0"/>
        <w:adjustRightInd w:val="0"/>
        <w:spacing w:after="0" w:line="240" w:lineRule="auto"/>
        <w:ind w:left="567" w:right="651"/>
        <w:rPr>
          <w:rFonts w:ascii="DIN-Bold" w:hAnsi="DIN-Bold" w:cs="DIN-Bold"/>
          <w:b/>
          <w:bCs/>
          <w:sz w:val="20"/>
          <w:szCs w:val="20"/>
        </w:rPr>
      </w:pPr>
    </w:p>
    <w:p w:rsidR="009F7334" w:rsidRPr="009F7334" w:rsidRDefault="009F7334" w:rsidP="009F7334">
      <w:pPr>
        <w:autoSpaceDE w:val="0"/>
        <w:autoSpaceDN w:val="0"/>
        <w:adjustRightInd w:val="0"/>
        <w:spacing w:after="0" w:line="240" w:lineRule="auto"/>
        <w:ind w:left="567" w:right="651"/>
        <w:rPr>
          <w:rFonts w:ascii="DIN-Bold" w:hAnsi="DIN-Bold" w:cs="DIN-Bold"/>
          <w:b/>
          <w:bCs/>
          <w:sz w:val="20"/>
          <w:szCs w:val="20"/>
        </w:rPr>
      </w:pPr>
      <w:r w:rsidRPr="009F7334">
        <w:rPr>
          <w:rFonts w:ascii="DIN-Bold" w:hAnsi="DIN-Bold" w:cs="DIN-Bold"/>
          <w:b/>
          <w:bCs/>
          <w:sz w:val="20"/>
          <w:szCs w:val="20"/>
        </w:rPr>
        <w:t>Surface Preparation</w:t>
      </w:r>
    </w:p>
    <w:p w:rsidR="009F7334" w:rsidRPr="009F7334" w:rsidRDefault="009F7334" w:rsidP="009F7334">
      <w:pPr>
        <w:autoSpaceDE w:val="0"/>
        <w:autoSpaceDN w:val="0"/>
        <w:adjustRightInd w:val="0"/>
        <w:spacing w:after="0" w:line="240" w:lineRule="auto"/>
        <w:ind w:left="567" w:right="651"/>
        <w:rPr>
          <w:rFonts w:ascii="DIN-Regular" w:hAnsi="DIN-Regular" w:cs="DIN-Regular"/>
          <w:sz w:val="20"/>
          <w:szCs w:val="20"/>
        </w:rPr>
      </w:pPr>
      <w:r w:rsidRPr="009F7334">
        <w:rPr>
          <w:rFonts w:ascii="DIN-Regular" w:hAnsi="DIN-Regular" w:cs="DIN-Regular"/>
          <w:sz w:val="20"/>
          <w:szCs w:val="20"/>
        </w:rPr>
        <w:t>• Sand the wood surface (new or previously painted) thoroughly using P 180 emery paper first, followed by P 400 emery paper.</w:t>
      </w:r>
    </w:p>
    <w:p w:rsidR="009F7334" w:rsidRDefault="009F7334" w:rsidP="009F7334">
      <w:pPr>
        <w:autoSpaceDE w:val="0"/>
        <w:autoSpaceDN w:val="0"/>
        <w:adjustRightInd w:val="0"/>
        <w:spacing w:after="0" w:line="240" w:lineRule="auto"/>
        <w:ind w:left="567" w:right="651"/>
        <w:rPr>
          <w:rFonts w:ascii="DIN-Regular" w:hAnsi="DIN-Regular" w:cs="DIN-Regular"/>
          <w:sz w:val="20"/>
          <w:szCs w:val="20"/>
        </w:rPr>
      </w:pPr>
      <w:r w:rsidRPr="009F7334">
        <w:rPr>
          <w:rFonts w:ascii="DIN-Regular" w:hAnsi="DIN-Regular" w:cs="DIN-Regular"/>
          <w:sz w:val="20"/>
          <w:szCs w:val="20"/>
        </w:rPr>
        <w:t>• Dust off the surface using rags and wipe off with PU Thinner to remove traces of oil, grease, or any organic contaminants.</w:t>
      </w:r>
    </w:p>
    <w:p w:rsidR="009F7334" w:rsidRDefault="009F7334" w:rsidP="009F7334">
      <w:pPr>
        <w:autoSpaceDE w:val="0"/>
        <w:autoSpaceDN w:val="0"/>
        <w:adjustRightInd w:val="0"/>
        <w:spacing w:after="0" w:line="240" w:lineRule="auto"/>
        <w:ind w:left="567" w:right="651"/>
        <w:rPr>
          <w:rFonts w:ascii="DIN-Regular" w:hAnsi="DIN-Regular" w:cs="DIN-Regular"/>
          <w:sz w:val="20"/>
          <w:szCs w:val="20"/>
        </w:rPr>
      </w:pPr>
    </w:p>
    <w:p w:rsidR="009F7334" w:rsidRPr="009F7334" w:rsidRDefault="009F7334" w:rsidP="009F7334">
      <w:pPr>
        <w:autoSpaceDE w:val="0"/>
        <w:autoSpaceDN w:val="0"/>
        <w:adjustRightInd w:val="0"/>
        <w:spacing w:after="0" w:line="240" w:lineRule="auto"/>
        <w:ind w:left="567" w:right="651"/>
        <w:rPr>
          <w:rFonts w:cs="DIN-Bold"/>
          <w:b/>
          <w:bCs/>
          <w:sz w:val="24"/>
          <w:szCs w:val="24"/>
        </w:rPr>
      </w:pPr>
      <w:r w:rsidRPr="009F7334">
        <w:rPr>
          <w:rFonts w:cs="DIN-Bold"/>
          <w:b/>
          <w:bCs/>
          <w:sz w:val="24"/>
          <w:szCs w:val="24"/>
        </w:rPr>
        <w:t>Application Details</w:t>
      </w:r>
    </w:p>
    <w:p w:rsidR="009F7334" w:rsidRPr="009F7334" w:rsidRDefault="009F7334" w:rsidP="009F7334">
      <w:pPr>
        <w:autoSpaceDE w:val="0"/>
        <w:autoSpaceDN w:val="0"/>
        <w:adjustRightInd w:val="0"/>
        <w:spacing w:after="0" w:line="240" w:lineRule="auto"/>
        <w:ind w:left="567" w:right="651"/>
        <w:rPr>
          <w:rFonts w:cs="DIN-Regular"/>
        </w:rPr>
      </w:pPr>
      <w:r w:rsidRPr="009F7334">
        <w:rPr>
          <w:rFonts w:cs="DIN-Regular"/>
        </w:rPr>
        <w:t>• Apply appropriate wood filler for filling the grains and sand off the excess filler.</w:t>
      </w:r>
    </w:p>
    <w:p w:rsidR="009F7334" w:rsidRPr="009F7334" w:rsidRDefault="009F7334" w:rsidP="009F7334">
      <w:pPr>
        <w:autoSpaceDE w:val="0"/>
        <w:autoSpaceDN w:val="0"/>
        <w:adjustRightInd w:val="0"/>
        <w:spacing w:after="0" w:line="240" w:lineRule="auto"/>
        <w:ind w:left="567" w:right="651"/>
        <w:rPr>
          <w:rFonts w:cs="DIN-Regular"/>
        </w:rPr>
      </w:pPr>
      <w:r w:rsidRPr="009F7334">
        <w:rPr>
          <w:rFonts w:cs="DIN-Regular"/>
        </w:rPr>
        <w:t xml:space="preserve">• Apply 1 or 2 coats of Touchwood Acrylic P.U Primer (for pigmented top coat) or Sealer (for </w:t>
      </w:r>
      <w:proofErr w:type="gramStart"/>
      <w:r w:rsidRPr="009F7334">
        <w:rPr>
          <w:rFonts w:cs="DIN-Regular"/>
        </w:rPr>
        <w:t>Clear</w:t>
      </w:r>
      <w:proofErr w:type="gramEnd"/>
      <w:r w:rsidRPr="009F7334">
        <w:rPr>
          <w:rFonts w:cs="DIN-Regular"/>
        </w:rPr>
        <w:t xml:space="preserve"> top coats) and fine sand it with P 400 sandpaper.</w:t>
      </w:r>
    </w:p>
    <w:p w:rsidR="009F7334" w:rsidRDefault="009F7334" w:rsidP="009F7334">
      <w:pPr>
        <w:autoSpaceDE w:val="0"/>
        <w:autoSpaceDN w:val="0"/>
        <w:adjustRightInd w:val="0"/>
        <w:spacing w:after="0" w:line="240" w:lineRule="auto"/>
        <w:ind w:left="567" w:right="651"/>
        <w:rPr>
          <w:rFonts w:cs="DIN-Regular"/>
        </w:rPr>
      </w:pPr>
      <w:r w:rsidRPr="009F7334">
        <w:rPr>
          <w:rFonts w:cs="DIN-Regular"/>
        </w:rPr>
        <w:t>• Dust off the loose powdery particles. Spray two pack Polyurethane Pigmented/clear top coat after mixing the base and hardener in the specified ratio and allowing the mixture to remain for 5-10 minutes before application (for effervescences to subside completely). If viscosity of base and hardener mixture is found to be higher than the specified application viscosity Acrylic P.U. Thinner can be added to adjust the viscosity.</w:t>
      </w:r>
    </w:p>
    <w:p w:rsidR="009F7334" w:rsidRDefault="009F7334" w:rsidP="009F7334">
      <w:pPr>
        <w:autoSpaceDE w:val="0"/>
        <w:autoSpaceDN w:val="0"/>
        <w:adjustRightInd w:val="0"/>
        <w:spacing w:after="0" w:line="240" w:lineRule="auto"/>
        <w:ind w:left="567" w:right="651"/>
        <w:rPr>
          <w:rFonts w:cs="DIN-Regular"/>
        </w:rPr>
      </w:pPr>
      <w:r w:rsidRPr="009F7334">
        <w:rPr>
          <w:rFonts w:cs="DIN-Regular"/>
          <w:noProof/>
          <w:lang w:val="en-US"/>
        </w:rPr>
        <w:drawing>
          <wp:anchor distT="0" distB="0" distL="114300" distR="114300" simplePos="0" relativeHeight="251661312" behindDoc="1" locked="0" layoutInCell="1" allowOverlap="1">
            <wp:simplePos x="19050" y="10170543"/>
            <wp:positionH relativeFrom="margin">
              <wp:align>center</wp:align>
            </wp:positionH>
            <wp:positionV relativeFrom="margin">
              <wp:align>bottom</wp:align>
            </wp:positionV>
            <wp:extent cx="7554942" cy="491706"/>
            <wp:effectExtent l="19050" t="0" r="7908" b="0"/>
            <wp:wrapSquare wrapText="bothSides"/>
            <wp:docPr id="3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4942" cy="491706"/>
                    </a:xfrm>
                    <a:prstGeom prst="rect">
                      <a:avLst/>
                    </a:prstGeom>
                  </pic:spPr>
                </pic:pic>
              </a:graphicData>
            </a:graphic>
          </wp:anchor>
        </w:drawing>
      </w:r>
    </w:p>
    <w:p w:rsidR="009F7334" w:rsidRDefault="00434255" w:rsidP="009F7334">
      <w:pPr>
        <w:autoSpaceDE w:val="0"/>
        <w:autoSpaceDN w:val="0"/>
        <w:adjustRightInd w:val="0"/>
        <w:spacing w:after="0" w:line="240" w:lineRule="auto"/>
        <w:ind w:left="567" w:right="651"/>
        <w:rPr>
          <w:rFonts w:cs="DIN-Regular"/>
        </w:rPr>
      </w:pPr>
      <w:r w:rsidRPr="00434255">
        <w:rPr>
          <w:rFonts w:cs="DIN-Regular"/>
          <w:noProof/>
          <w:lang w:val="en-US"/>
        </w:rPr>
        <w:lastRenderedPageBreak/>
        <w:drawing>
          <wp:anchor distT="0" distB="0" distL="114300" distR="114300" simplePos="0" relativeHeight="251669504" behindDoc="0" locked="0" layoutInCell="1" allowOverlap="1">
            <wp:simplePos x="0" y="0"/>
            <wp:positionH relativeFrom="margin">
              <wp:posOffset>-149860</wp:posOffset>
            </wp:positionH>
            <wp:positionV relativeFrom="margin">
              <wp:posOffset>0</wp:posOffset>
            </wp:positionV>
            <wp:extent cx="7637145" cy="1699260"/>
            <wp:effectExtent l="19050" t="0" r="1905"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7145" cy="1699260"/>
                    </a:xfrm>
                    <a:prstGeom prst="rect">
                      <a:avLst/>
                    </a:prstGeom>
                    <a:noFill/>
                    <a:ln w="9525">
                      <a:noFill/>
                      <a:miter lim="800000"/>
                      <a:headEnd/>
                      <a:tailEnd/>
                    </a:ln>
                  </pic:spPr>
                </pic:pic>
              </a:graphicData>
            </a:graphic>
          </wp:anchor>
        </w:drawing>
      </w:r>
    </w:p>
    <w:p w:rsidR="009F7334" w:rsidRDefault="009F7334" w:rsidP="009F7334">
      <w:pPr>
        <w:autoSpaceDE w:val="0"/>
        <w:autoSpaceDN w:val="0"/>
        <w:adjustRightInd w:val="0"/>
        <w:spacing w:after="0" w:line="240" w:lineRule="auto"/>
        <w:ind w:left="567" w:right="651"/>
        <w:rPr>
          <w:rFonts w:cs="DIN-Regular"/>
        </w:rPr>
      </w:pPr>
    </w:p>
    <w:p w:rsidR="009F7334" w:rsidRDefault="009F7334" w:rsidP="009F7334">
      <w:pPr>
        <w:autoSpaceDE w:val="0"/>
        <w:autoSpaceDN w:val="0"/>
        <w:adjustRightInd w:val="0"/>
        <w:spacing w:after="0" w:line="240" w:lineRule="auto"/>
        <w:ind w:left="567" w:right="651"/>
        <w:rPr>
          <w:rFonts w:cs="DIN-Regular"/>
        </w:rPr>
      </w:pPr>
    </w:p>
    <w:tbl>
      <w:tblPr>
        <w:tblStyle w:val="TableGrid"/>
        <w:tblW w:w="0" w:type="auto"/>
        <w:jc w:val="center"/>
        <w:tblInd w:w="392" w:type="dxa"/>
        <w:tblLook w:val="04A0"/>
      </w:tblPr>
      <w:tblGrid>
        <w:gridCol w:w="5670"/>
        <w:gridCol w:w="5578"/>
      </w:tblGrid>
      <w:tr w:rsidR="009F7334" w:rsidRPr="009F7334" w:rsidTr="00614CD4">
        <w:trPr>
          <w:jc w:val="center"/>
        </w:trPr>
        <w:tc>
          <w:tcPr>
            <w:tcW w:w="11248" w:type="dxa"/>
            <w:gridSpan w:val="2"/>
          </w:tcPr>
          <w:p w:rsidR="009F7334" w:rsidRPr="009F7334" w:rsidRDefault="009F7334" w:rsidP="009F7334">
            <w:pPr>
              <w:autoSpaceDE w:val="0"/>
              <w:autoSpaceDN w:val="0"/>
              <w:adjustRightInd w:val="0"/>
              <w:ind w:right="651"/>
              <w:rPr>
                <w:rFonts w:cs="DIN-Regular"/>
                <w:sz w:val="24"/>
                <w:szCs w:val="24"/>
              </w:rPr>
            </w:pPr>
            <w:r w:rsidRPr="009F7334">
              <w:rPr>
                <w:rFonts w:cs="DIN-Bold"/>
                <w:b/>
                <w:bCs/>
                <w:sz w:val="24"/>
                <w:szCs w:val="24"/>
              </w:rPr>
              <w:t>TYPICAL PAINT SYSTEM</w:t>
            </w:r>
          </w:p>
        </w:tc>
      </w:tr>
      <w:tr w:rsidR="009F7334" w:rsidRPr="009F7334" w:rsidTr="00614CD4">
        <w:trPr>
          <w:jc w:val="center"/>
        </w:trPr>
        <w:tc>
          <w:tcPr>
            <w:tcW w:w="5670" w:type="dxa"/>
          </w:tcPr>
          <w:p w:rsidR="009F7334" w:rsidRPr="009F7334" w:rsidRDefault="009F7334" w:rsidP="009F7334">
            <w:pPr>
              <w:autoSpaceDE w:val="0"/>
              <w:autoSpaceDN w:val="0"/>
              <w:adjustRightInd w:val="0"/>
              <w:ind w:right="651"/>
              <w:rPr>
                <w:rFonts w:cs="DIN-Regular"/>
              </w:rPr>
            </w:pPr>
            <w:r w:rsidRPr="009F7334">
              <w:rPr>
                <w:rFonts w:cs="DIN-Bold"/>
                <w:b/>
                <w:bCs/>
              </w:rPr>
              <w:t>Clear System</w:t>
            </w:r>
          </w:p>
        </w:tc>
        <w:tc>
          <w:tcPr>
            <w:tcW w:w="5578" w:type="dxa"/>
          </w:tcPr>
          <w:p w:rsidR="009F7334" w:rsidRPr="009F7334" w:rsidRDefault="009F7334" w:rsidP="009F7334">
            <w:pPr>
              <w:autoSpaceDE w:val="0"/>
              <w:autoSpaceDN w:val="0"/>
              <w:adjustRightInd w:val="0"/>
              <w:ind w:right="651"/>
              <w:rPr>
                <w:rFonts w:cs="DIN-Regular"/>
              </w:rPr>
            </w:pPr>
          </w:p>
        </w:tc>
      </w:tr>
      <w:tr w:rsidR="009F7334" w:rsidRPr="009F7334" w:rsidTr="00614CD4">
        <w:trPr>
          <w:jc w:val="center"/>
        </w:trPr>
        <w:tc>
          <w:tcPr>
            <w:tcW w:w="5670" w:type="dxa"/>
          </w:tcPr>
          <w:p w:rsidR="009F7334" w:rsidRPr="009F7334" w:rsidRDefault="009F7334" w:rsidP="009F7334">
            <w:pPr>
              <w:autoSpaceDE w:val="0"/>
              <w:autoSpaceDN w:val="0"/>
              <w:adjustRightInd w:val="0"/>
              <w:ind w:right="317"/>
              <w:rPr>
                <w:rFonts w:cs="DIN-Regular"/>
              </w:rPr>
            </w:pPr>
            <w:r w:rsidRPr="009F7334">
              <w:rPr>
                <w:rFonts w:cs="DIN-Regular"/>
              </w:rPr>
              <w:t>2 coats x Touchwood Acrylic PU Sanding Sealer Exterior</w:t>
            </w:r>
          </w:p>
        </w:tc>
        <w:tc>
          <w:tcPr>
            <w:tcW w:w="5578" w:type="dxa"/>
          </w:tcPr>
          <w:p w:rsidR="009F7334" w:rsidRPr="009F7334" w:rsidRDefault="009F7334" w:rsidP="009F7334">
            <w:pPr>
              <w:autoSpaceDE w:val="0"/>
              <w:autoSpaceDN w:val="0"/>
              <w:adjustRightInd w:val="0"/>
              <w:rPr>
                <w:rFonts w:cs="DIN-Regular"/>
              </w:rPr>
            </w:pPr>
            <w:r w:rsidRPr="009F7334">
              <w:rPr>
                <w:rFonts w:cs="DIN-Regular"/>
              </w:rPr>
              <w:t>2 coats x Touchwood Acrylic PU Pigmented Primer</w:t>
            </w:r>
          </w:p>
          <w:p w:rsidR="009F7334" w:rsidRPr="009F7334" w:rsidRDefault="009F7334" w:rsidP="009F7334">
            <w:pPr>
              <w:autoSpaceDE w:val="0"/>
              <w:autoSpaceDN w:val="0"/>
              <w:adjustRightInd w:val="0"/>
              <w:ind w:right="-200"/>
              <w:rPr>
                <w:rFonts w:cs="DIN-Regular"/>
              </w:rPr>
            </w:pPr>
            <w:r w:rsidRPr="009F7334">
              <w:rPr>
                <w:rFonts w:cs="DIN-Regular"/>
              </w:rPr>
              <w:t>Exterior</w:t>
            </w:r>
          </w:p>
        </w:tc>
      </w:tr>
      <w:tr w:rsidR="009F7334" w:rsidRPr="009F7334" w:rsidTr="00614CD4">
        <w:trPr>
          <w:jc w:val="center"/>
        </w:trPr>
        <w:tc>
          <w:tcPr>
            <w:tcW w:w="5670" w:type="dxa"/>
          </w:tcPr>
          <w:p w:rsidR="009F7334" w:rsidRPr="009F7334" w:rsidRDefault="009F7334" w:rsidP="009F7334">
            <w:pPr>
              <w:autoSpaceDE w:val="0"/>
              <w:autoSpaceDN w:val="0"/>
              <w:adjustRightInd w:val="0"/>
              <w:ind w:right="459"/>
              <w:rPr>
                <w:rFonts w:cs="DIN-Regular"/>
              </w:rPr>
            </w:pPr>
            <w:r w:rsidRPr="009F7334">
              <w:rPr>
                <w:rFonts w:cs="DIN-Regular"/>
              </w:rPr>
              <w:t>2 coats x Touchwood Acrylic PU Clear Topcoat Exterior</w:t>
            </w:r>
          </w:p>
        </w:tc>
        <w:tc>
          <w:tcPr>
            <w:tcW w:w="5578" w:type="dxa"/>
          </w:tcPr>
          <w:p w:rsidR="009F7334" w:rsidRPr="009F7334" w:rsidRDefault="009F7334" w:rsidP="009F7334">
            <w:pPr>
              <w:autoSpaceDE w:val="0"/>
              <w:autoSpaceDN w:val="0"/>
              <w:adjustRightInd w:val="0"/>
              <w:rPr>
                <w:rFonts w:cs="DIN-Regular"/>
              </w:rPr>
            </w:pPr>
            <w:r w:rsidRPr="009F7334">
              <w:rPr>
                <w:rFonts w:cs="DIN-Regular"/>
              </w:rPr>
              <w:t>2 coats x Touchwood Acrylic PU Pigmented Topcoat</w:t>
            </w:r>
          </w:p>
          <w:p w:rsidR="009F7334" w:rsidRPr="009F7334" w:rsidRDefault="009F7334" w:rsidP="009F7334">
            <w:pPr>
              <w:autoSpaceDE w:val="0"/>
              <w:autoSpaceDN w:val="0"/>
              <w:adjustRightInd w:val="0"/>
              <w:ind w:right="651"/>
              <w:rPr>
                <w:rFonts w:cs="DIN-Regular"/>
              </w:rPr>
            </w:pPr>
            <w:r w:rsidRPr="009F7334">
              <w:rPr>
                <w:rFonts w:cs="DIN-Regular"/>
              </w:rPr>
              <w:t>Exterior</w:t>
            </w:r>
          </w:p>
        </w:tc>
      </w:tr>
      <w:tr w:rsidR="009F7334" w:rsidRPr="009F7334" w:rsidTr="00614CD4">
        <w:trPr>
          <w:jc w:val="center"/>
        </w:trPr>
        <w:tc>
          <w:tcPr>
            <w:tcW w:w="11248" w:type="dxa"/>
            <w:gridSpan w:val="2"/>
          </w:tcPr>
          <w:p w:rsidR="009F7334" w:rsidRPr="009F7334" w:rsidRDefault="009F7334" w:rsidP="009F7334">
            <w:pPr>
              <w:autoSpaceDE w:val="0"/>
              <w:autoSpaceDN w:val="0"/>
              <w:adjustRightInd w:val="0"/>
              <w:ind w:right="651"/>
              <w:rPr>
                <w:rFonts w:cs="DIN-Regular"/>
              </w:rPr>
            </w:pPr>
            <w:r w:rsidRPr="009F7334">
              <w:rPr>
                <w:rFonts w:cs="DIN-Regular"/>
              </w:rPr>
              <w:t>For detailed system recommendation based on specific requirements please contact Berger representative.</w:t>
            </w:r>
          </w:p>
        </w:tc>
      </w:tr>
    </w:tbl>
    <w:p w:rsidR="009F7334" w:rsidRDefault="009F7334" w:rsidP="00614CD4">
      <w:pPr>
        <w:autoSpaceDE w:val="0"/>
        <w:autoSpaceDN w:val="0"/>
        <w:adjustRightInd w:val="0"/>
        <w:spacing w:after="0" w:line="240" w:lineRule="auto"/>
        <w:ind w:right="651"/>
        <w:rPr>
          <w:rFonts w:cs="DIN-Regular"/>
        </w:rPr>
      </w:pPr>
    </w:p>
    <w:p w:rsidR="00614CD4" w:rsidRPr="00614CD4" w:rsidRDefault="00614CD4" w:rsidP="00614CD4">
      <w:pPr>
        <w:autoSpaceDE w:val="0"/>
        <w:autoSpaceDN w:val="0"/>
        <w:adjustRightInd w:val="0"/>
        <w:spacing w:after="0" w:line="240" w:lineRule="auto"/>
        <w:ind w:left="567" w:right="651"/>
        <w:rPr>
          <w:rFonts w:cs="DIN-Bold"/>
          <w:b/>
          <w:bCs/>
          <w:sz w:val="24"/>
          <w:szCs w:val="24"/>
        </w:rPr>
      </w:pPr>
      <w:r w:rsidRPr="00614CD4">
        <w:rPr>
          <w:rFonts w:cs="DIN-Bold"/>
          <w:b/>
          <w:bCs/>
          <w:sz w:val="24"/>
          <w:szCs w:val="24"/>
        </w:rPr>
        <w:t>Storage, Safety Information and Precautions</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Regular"/>
        </w:rPr>
        <w:t>Storage and Handling:</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Regular"/>
        </w:rPr>
        <w:t>• Base and hardener should be stored separately in a cool place.</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Regular"/>
        </w:rPr>
        <w:t xml:space="preserve">• For protection against exposure to </w:t>
      </w:r>
      <w:proofErr w:type="spellStart"/>
      <w:r w:rsidRPr="00614CD4">
        <w:rPr>
          <w:rFonts w:cs="DIN-Regular"/>
        </w:rPr>
        <w:t>isocyanate</w:t>
      </w:r>
      <w:proofErr w:type="spellEnd"/>
      <w:r w:rsidRPr="00614CD4">
        <w:rPr>
          <w:rFonts w:cs="DIN-Regular"/>
        </w:rPr>
        <w:t xml:space="preserve"> system, wear goggles, air </w:t>
      </w:r>
      <w:proofErr w:type="spellStart"/>
      <w:r w:rsidRPr="00614CD4">
        <w:rPr>
          <w:rFonts w:cs="DIN-Regular"/>
        </w:rPr>
        <w:t>fedmask</w:t>
      </w:r>
      <w:proofErr w:type="spellEnd"/>
      <w:r w:rsidRPr="00614CD4">
        <w:rPr>
          <w:rFonts w:cs="DIN-Regular"/>
        </w:rPr>
        <w:t xml:space="preserve"> and necessary attire.</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Regular"/>
        </w:rPr>
        <w:t>• Never keep the lids of the cans containing base and hardener open</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Regular"/>
        </w:rPr>
        <w:t>• Always use the base and hardener as supplied. Don’t use partially.</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Regular"/>
        </w:rPr>
        <w:t>• Dispose in a landfill and not in a drain or water channel.</w:t>
      </w:r>
    </w:p>
    <w:p w:rsidR="00614CD4" w:rsidRPr="00614CD4" w:rsidRDefault="00614CD4" w:rsidP="00614CD4">
      <w:pPr>
        <w:autoSpaceDE w:val="0"/>
        <w:autoSpaceDN w:val="0"/>
        <w:adjustRightInd w:val="0"/>
        <w:spacing w:after="0" w:line="240" w:lineRule="auto"/>
        <w:ind w:left="567" w:right="651"/>
        <w:rPr>
          <w:rFonts w:cs="DIN-Bold"/>
          <w:b/>
          <w:bCs/>
          <w:sz w:val="20"/>
          <w:szCs w:val="20"/>
        </w:rPr>
      </w:pPr>
    </w:p>
    <w:p w:rsidR="00614CD4" w:rsidRPr="00614CD4" w:rsidRDefault="00614CD4" w:rsidP="00614CD4">
      <w:pPr>
        <w:autoSpaceDE w:val="0"/>
        <w:autoSpaceDN w:val="0"/>
        <w:adjustRightInd w:val="0"/>
        <w:spacing w:after="0" w:line="240" w:lineRule="auto"/>
        <w:ind w:left="567" w:right="651"/>
        <w:rPr>
          <w:rFonts w:cs="DIN-Bold"/>
          <w:b/>
          <w:bCs/>
          <w:sz w:val="24"/>
          <w:szCs w:val="24"/>
        </w:rPr>
      </w:pPr>
      <w:r w:rsidRPr="00614CD4">
        <w:rPr>
          <w:rFonts w:cs="DIN-Bold"/>
          <w:b/>
          <w:bCs/>
          <w:sz w:val="24"/>
          <w:szCs w:val="24"/>
        </w:rPr>
        <w:t>Safety Information</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Bold"/>
          <w:b/>
          <w:bCs/>
        </w:rPr>
        <w:t xml:space="preserve">Flash </w:t>
      </w:r>
      <w:proofErr w:type="gramStart"/>
      <w:r w:rsidRPr="00614CD4">
        <w:rPr>
          <w:rFonts w:cs="DIN-Bold"/>
          <w:b/>
          <w:bCs/>
        </w:rPr>
        <w:t>Point :</w:t>
      </w:r>
      <w:proofErr w:type="gramEnd"/>
      <w:r w:rsidRPr="00614CD4">
        <w:rPr>
          <w:rFonts w:cs="DIN-Bold"/>
          <w:b/>
          <w:bCs/>
        </w:rPr>
        <w:t xml:space="preserve"> </w:t>
      </w:r>
      <w:r w:rsidRPr="00614CD4">
        <w:rPr>
          <w:rFonts w:cs="DIN-Regular"/>
        </w:rPr>
        <w:t>20° C</w:t>
      </w: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Bold"/>
          <w:b/>
          <w:bCs/>
        </w:rPr>
        <w:t xml:space="preserve">Fire Hazard </w:t>
      </w:r>
      <w:proofErr w:type="gramStart"/>
      <w:r w:rsidRPr="00614CD4">
        <w:rPr>
          <w:rFonts w:cs="DIN-Bold"/>
          <w:b/>
          <w:bCs/>
        </w:rPr>
        <w:t>class :</w:t>
      </w:r>
      <w:proofErr w:type="gramEnd"/>
      <w:r w:rsidRPr="00614CD4">
        <w:rPr>
          <w:rFonts w:cs="DIN-Bold"/>
          <w:b/>
          <w:bCs/>
        </w:rPr>
        <w:t xml:space="preserve"> </w:t>
      </w:r>
      <w:r w:rsidRPr="00614CD4">
        <w:rPr>
          <w:rFonts w:cs="DIN-Regular"/>
        </w:rPr>
        <w:t>Flammable</w:t>
      </w:r>
    </w:p>
    <w:p w:rsidR="00614CD4" w:rsidRPr="00614CD4" w:rsidRDefault="00614CD4" w:rsidP="00614CD4">
      <w:pPr>
        <w:autoSpaceDE w:val="0"/>
        <w:autoSpaceDN w:val="0"/>
        <w:adjustRightInd w:val="0"/>
        <w:spacing w:after="0" w:line="240" w:lineRule="auto"/>
        <w:ind w:left="567" w:right="651"/>
        <w:rPr>
          <w:rFonts w:cs="DIN-Bold"/>
          <w:b/>
          <w:bCs/>
          <w:sz w:val="20"/>
          <w:szCs w:val="20"/>
        </w:rPr>
      </w:pPr>
    </w:p>
    <w:p w:rsidR="00614CD4" w:rsidRPr="00614CD4" w:rsidRDefault="00614CD4" w:rsidP="00614CD4">
      <w:pPr>
        <w:autoSpaceDE w:val="0"/>
        <w:autoSpaceDN w:val="0"/>
        <w:adjustRightInd w:val="0"/>
        <w:spacing w:after="0" w:line="240" w:lineRule="auto"/>
        <w:ind w:left="567" w:right="651"/>
        <w:rPr>
          <w:rFonts w:cs="DIN-Bold"/>
          <w:b/>
          <w:bCs/>
          <w:sz w:val="24"/>
          <w:szCs w:val="24"/>
        </w:rPr>
      </w:pPr>
      <w:r w:rsidRPr="00614CD4">
        <w:rPr>
          <w:rFonts w:cs="DIN-Bold"/>
          <w:b/>
          <w:bCs/>
          <w:sz w:val="24"/>
          <w:szCs w:val="24"/>
        </w:rPr>
        <w:t>Disclaimer</w:t>
      </w:r>
    </w:p>
    <w:p w:rsidR="00614CD4" w:rsidRDefault="00614CD4" w:rsidP="00614CD4">
      <w:pPr>
        <w:autoSpaceDE w:val="0"/>
        <w:autoSpaceDN w:val="0"/>
        <w:adjustRightInd w:val="0"/>
        <w:spacing w:after="0" w:line="240" w:lineRule="auto"/>
        <w:ind w:left="567" w:right="651"/>
        <w:rPr>
          <w:rFonts w:cs="DIN-RegularItalic"/>
          <w:i/>
          <w:iCs/>
        </w:rPr>
      </w:pPr>
      <w:r w:rsidRPr="00614CD4">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614CD4" w:rsidRDefault="00614CD4" w:rsidP="00614CD4">
      <w:pPr>
        <w:autoSpaceDE w:val="0"/>
        <w:autoSpaceDN w:val="0"/>
        <w:adjustRightInd w:val="0"/>
        <w:spacing w:after="0" w:line="240" w:lineRule="auto"/>
        <w:ind w:left="567" w:right="651"/>
        <w:rPr>
          <w:rFonts w:cs="DIN-RegularItalic"/>
          <w:i/>
          <w:iCs/>
        </w:rPr>
      </w:pPr>
    </w:p>
    <w:p w:rsidR="00614CD4" w:rsidRPr="00614CD4" w:rsidRDefault="00614CD4" w:rsidP="00614CD4">
      <w:pPr>
        <w:autoSpaceDE w:val="0"/>
        <w:autoSpaceDN w:val="0"/>
        <w:adjustRightInd w:val="0"/>
        <w:spacing w:after="0" w:line="240" w:lineRule="auto"/>
        <w:ind w:left="567" w:right="651"/>
        <w:rPr>
          <w:rFonts w:cs="DIN-Regular"/>
        </w:rPr>
      </w:pPr>
      <w:r w:rsidRPr="00614CD4">
        <w:rPr>
          <w:rFonts w:cs="DIN-RegularItalic"/>
          <w:i/>
          <w:iCs/>
          <w:noProof/>
          <w:lang w:val="en-US"/>
        </w:rPr>
        <w:drawing>
          <wp:anchor distT="0" distB="0" distL="114300" distR="114300" simplePos="0" relativeHeight="251665408" behindDoc="1" locked="0" layoutInCell="1" allowOverlap="1">
            <wp:simplePos x="0" y="0"/>
            <wp:positionH relativeFrom="margin">
              <wp:posOffset>-149860</wp:posOffset>
            </wp:positionH>
            <wp:positionV relativeFrom="margin">
              <wp:align>bottom</wp:align>
            </wp:positionV>
            <wp:extent cx="7555865" cy="491490"/>
            <wp:effectExtent l="19050" t="0" r="6985" b="0"/>
            <wp:wrapSquare wrapText="bothSides"/>
            <wp:docPr id="3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5865" cy="491490"/>
                    </a:xfrm>
                    <a:prstGeom prst="rect">
                      <a:avLst/>
                    </a:prstGeom>
                  </pic:spPr>
                </pic:pic>
              </a:graphicData>
            </a:graphic>
          </wp:anchor>
        </w:drawing>
      </w:r>
    </w:p>
    <w:sectPr w:rsidR="00614CD4" w:rsidRPr="00614CD4" w:rsidSect="004C6115">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4C6115"/>
    <w:rsid w:val="000307A9"/>
    <w:rsid w:val="0023764E"/>
    <w:rsid w:val="00434255"/>
    <w:rsid w:val="004C6115"/>
    <w:rsid w:val="00614CD4"/>
    <w:rsid w:val="0096788B"/>
    <w:rsid w:val="009F7334"/>
    <w:rsid w:val="00A222B4"/>
    <w:rsid w:val="00DE0929"/>
    <w:rsid w:val="00EE59E3"/>
    <w:rsid w:val="00FB7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2015-04-20T12:50:00Z</dcterms:created>
  <dcterms:modified xsi:type="dcterms:W3CDTF">2015-07-14T06:59:00Z</dcterms:modified>
</cp:coreProperties>
</file>