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929" w:rsidRDefault="00A93F2A">
      <w:r w:rsidRPr="00A93F2A">
        <w:rPr>
          <w:noProof/>
          <w:lang w:val="en-US"/>
        </w:rPr>
        <w:drawing>
          <wp:anchor distT="0" distB="0" distL="114300" distR="114300" simplePos="0" relativeHeight="251663360" behindDoc="0" locked="0" layoutInCell="1" allowOverlap="1">
            <wp:simplePos x="0" y="0"/>
            <wp:positionH relativeFrom="margin">
              <wp:posOffset>-151130</wp:posOffset>
            </wp:positionH>
            <wp:positionV relativeFrom="margin">
              <wp:posOffset>0</wp:posOffset>
            </wp:positionV>
            <wp:extent cx="7635240" cy="1695450"/>
            <wp:effectExtent l="19050" t="0" r="3810" b="0"/>
            <wp:wrapSquare wrapText="bothSides"/>
            <wp:docPr id="7"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635240" cy="1699895"/>
                    </a:xfrm>
                    <a:prstGeom prst="rect">
                      <a:avLst/>
                    </a:prstGeom>
                    <a:noFill/>
                    <a:ln w="9525">
                      <a:noFill/>
                      <a:miter lim="800000"/>
                      <a:headEnd/>
                      <a:tailEnd/>
                    </a:ln>
                  </pic:spPr>
                </pic:pic>
              </a:graphicData>
            </a:graphic>
          </wp:anchor>
        </w:drawing>
      </w:r>
    </w:p>
    <w:tbl>
      <w:tblPr>
        <w:tblW w:w="10644" w:type="dxa"/>
        <w:jc w:val="center"/>
        <w:tblLook w:val="04A0"/>
      </w:tblPr>
      <w:tblGrid>
        <w:gridCol w:w="10644"/>
      </w:tblGrid>
      <w:tr w:rsidR="00041182" w:rsidRPr="00B87D7A" w:rsidTr="00D338CD">
        <w:trPr>
          <w:trHeight w:hRule="exact" w:val="443"/>
          <w:jc w:val="center"/>
        </w:trPr>
        <w:tc>
          <w:tcPr>
            <w:tcW w:w="106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1182" w:rsidRPr="00B87D7A" w:rsidRDefault="00041182" w:rsidP="00D338CD">
            <w:pPr>
              <w:spacing w:after="0" w:line="240" w:lineRule="auto"/>
              <w:jc w:val="center"/>
              <w:rPr>
                <w:rFonts w:eastAsia="Times New Roman" w:cs="Times New Roman"/>
                <w:b/>
                <w:bCs/>
                <w:sz w:val="28"/>
                <w:szCs w:val="28"/>
                <w:lang w:eastAsia="en-IN"/>
              </w:rPr>
            </w:pPr>
            <w:r w:rsidRPr="00041182">
              <w:rPr>
                <w:rFonts w:cs="DIN-Bold"/>
                <w:b/>
                <w:bCs/>
                <w:sz w:val="28"/>
                <w:szCs w:val="28"/>
              </w:rPr>
              <w:t>SYSTEM : FAST DRYING AND DURABLE ENAMEL FINISH FOR INTERIORS / EXTERIORS</w:t>
            </w:r>
          </w:p>
        </w:tc>
      </w:tr>
      <w:tr w:rsidR="00041182" w:rsidRPr="00B87D7A" w:rsidTr="00D338CD">
        <w:trPr>
          <w:trHeight w:hRule="exact" w:val="345"/>
          <w:jc w:val="center"/>
        </w:trPr>
        <w:tc>
          <w:tcPr>
            <w:tcW w:w="1068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041182" w:rsidRPr="00B87D7A" w:rsidRDefault="00041182" w:rsidP="00D338CD">
            <w:pPr>
              <w:spacing w:after="0" w:line="240" w:lineRule="auto"/>
              <w:jc w:val="center"/>
              <w:rPr>
                <w:rFonts w:eastAsia="Times New Roman" w:cs="Times New Roman"/>
                <w:b/>
                <w:bCs/>
                <w:sz w:val="28"/>
                <w:szCs w:val="28"/>
                <w:lang w:eastAsia="en-IN"/>
              </w:rPr>
            </w:pPr>
            <w:r w:rsidRPr="00041182">
              <w:rPr>
                <w:rFonts w:eastAsia="Times New Roman" w:cs="Times New Roman"/>
                <w:b/>
                <w:bCs/>
                <w:sz w:val="28"/>
                <w:szCs w:val="28"/>
                <w:lang w:eastAsia="en-IN"/>
              </w:rPr>
              <w:t>Surface – GI</w:t>
            </w:r>
          </w:p>
        </w:tc>
      </w:tr>
    </w:tbl>
    <w:p w:rsidR="00041182" w:rsidRDefault="00041182"/>
    <w:p w:rsidR="00041182" w:rsidRPr="00041182" w:rsidRDefault="00041182" w:rsidP="00041182">
      <w:pPr>
        <w:autoSpaceDE w:val="0"/>
        <w:autoSpaceDN w:val="0"/>
        <w:adjustRightInd w:val="0"/>
        <w:spacing w:after="0" w:line="240" w:lineRule="auto"/>
        <w:ind w:left="567" w:right="651"/>
        <w:rPr>
          <w:rFonts w:cs="DIN-Bold"/>
          <w:b/>
          <w:bCs/>
          <w:sz w:val="28"/>
          <w:szCs w:val="28"/>
        </w:rPr>
      </w:pPr>
      <w:r w:rsidRPr="00041182">
        <w:rPr>
          <w:rFonts w:cs="DIN-Bold"/>
          <w:b/>
          <w:bCs/>
          <w:sz w:val="28"/>
          <w:szCs w:val="28"/>
        </w:rPr>
        <w:t>System Description</w:t>
      </w:r>
    </w:p>
    <w:p w:rsidR="00041182" w:rsidRPr="00041182" w:rsidRDefault="00041182" w:rsidP="00041182">
      <w:pPr>
        <w:autoSpaceDE w:val="0"/>
        <w:autoSpaceDN w:val="0"/>
        <w:adjustRightInd w:val="0"/>
        <w:spacing w:after="0" w:line="240" w:lineRule="auto"/>
        <w:ind w:left="567" w:right="651"/>
        <w:rPr>
          <w:rFonts w:cs="DIN-Bold"/>
          <w:b/>
          <w:bCs/>
          <w:sz w:val="24"/>
          <w:szCs w:val="24"/>
        </w:rPr>
      </w:pPr>
    </w:p>
    <w:p w:rsidR="00041182" w:rsidRPr="00041182" w:rsidRDefault="00041182" w:rsidP="00041182">
      <w:pPr>
        <w:autoSpaceDE w:val="0"/>
        <w:autoSpaceDN w:val="0"/>
        <w:adjustRightInd w:val="0"/>
        <w:spacing w:after="0" w:line="240" w:lineRule="auto"/>
        <w:ind w:left="567" w:right="651"/>
        <w:rPr>
          <w:rFonts w:cs="DIN-Bold"/>
          <w:b/>
          <w:bCs/>
          <w:sz w:val="24"/>
          <w:szCs w:val="24"/>
        </w:rPr>
      </w:pPr>
      <w:r w:rsidRPr="00041182">
        <w:rPr>
          <w:rFonts w:cs="DIN-Bold"/>
          <w:b/>
          <w:bCs/>
          <w:sz w:val="24"/>
          <w:szCs w:val="24"/>
        </w:rPr>
        <w:t xml:space="preserve">Primary Coat: 1 coat of Berger </w:t>
      </w:r>
      <w:proofErr w:type="spellStart"/>
      <w:r w:rsidRPr="00041182">
        <w:rPr>
          <w:rFonts w:cs="DIN-Bold"/>
          <w:b/>
          <w:bCs/>
          <w:sz w:val="24"/>
          <w:szCs w:val="24"/>
        </w:rPr>
        <w:t>Redoxide</w:t>
      </w:r>
      <w:proofErr w:type="spellEnd"/>
      <w:r w:rsidRPr="00041182">
        <w:rPr>
          <w:rFonts w:cs="DIN-Bold"/>
          <w:b/>
          <w:bCs/>
          <w:sz w:val="24"/>
          <w:szCs w:val="24"/>
        </w:rPr>
        <w:t xml:space="preserve"> primer</w:t>
      </w:r>
    </w:p>
    <w:p w:rsidR="00041182" w:rsidRPr="00041182" w:rsidRDefault="00041182" w:rsidP="00041182">
      <w:pPr>
        <w:autoSpaceDE w:val="0"/>
        <w:autoSpaceDN w:val="0"/>
        <w:adjustRightInd w:val="0"/>
        <w:spacing w:after="0" w:line="240" w:lineRule="auto"/>
        <w:ind w:left="567" w:right="651"/>
        <w:rPr>
          <w:rFonts w:cs="DIN-Regular"/>
        </w:rPr>
      </w:pPr>
      <w:r w:rsidRPr="00041182">
        <w:rPr>
          <w:rFonts w:cs="DIN-Regular"/>
        </w:rPr>
        <w:t>A general purpose Metal Primer based on synthetic resin pigmented with Red Oxide and other rust inhibitive pigments that provides short term protection for steel during and immediately after fabrication. It can be applied to non-blast cleaned surfaces.</w:t>
      </w:r>
    </w:p>
    <w:p w:rsidR="00041182" w:rsidRPr="00041182" w:rsidRDefault="00041182" w:rsidP="00041182">
      <w:pPr>
        <w:autoSpaceDE w:val="0"/>
        <w:autoSpaceDN w:val="0"/>
        <w:adjustRightInd w:val="0"/>
        <w:spacing w:after="0" w:line="240" w:lineRule="auto"/>
        <w:ind w:left="567" w:right="651"/>
        <w:rPr>
          <w:rFonts w:cs="DIN-Bold"/>
          <w:b/>
          <w:bCs/>
        </w:rPr>
      </w:pPr>
    </w:p>
    <w:p w:rsidR="00041182" w:rsidRPr="00041182" w:rsidRDefault="00041182" w:rsidP="00041182">
      <w:pPr>
        <w:autoSpaceDE w:val="0"/>
        <w:autoSpaceDN w:val="0"/>
        <w:adjustRightInd w:val="0"/>
        <w:spacing w:after="0" w:line="240" w:lineRule="auto"/>
        <w:ind w:left="567" w:right="651"/>
        <w:rPr>
          <w:rFonts w:cs="DIN-Regular"/>
        </w:rPr>
      </w:pPr>
      <w:r w:rsidRPr="00041182">
        <w:rPr>
          <w:rFonts w:cs="DIN-Bold"/>
          <w:b/>
          <w:bCs/>
        </w:rPr>
        <w:t xml:space="preserve">Volume Solids: </w:t>
      </w:r>
      <w:r w:rsidRPr="00041182">
        <w:rPr>
          <w:rFonts w:cs="DIN-Regular"/>
        </w:rPr>
        <w:t>50% ± 2%</w:t>
      </w:r>
    </w:p>
    <w:p w:rsidR="00041182" w:rsidRPr="00041182" w:rsidRDefault="00041182" w:rsidP="00041182">
      <w:pPr>
        <w:autoSpaceDE w:val="0"/>
        <w:autoSpaceDN w:val="0"/>
        <w:adjustRightInd w:val="0"/>
        <w:spacing w:after="0" w:line="240" w:lineRule="auto"/>
        <w:ind w:left="567" w:right="651"/>
        <w:rPr>
          <w:rFonts w:cs="DIN-Bold"/>
          <w:b/>
          <w:bCs/>
          <w:sz w:val="24"/>
          <w:szCs w:val="24"/>
        </w:rPr>
      </w:pPr>
    </w:p>
    <w:p w:rsidR="00041182" w:rsidRPr="00041182" w:rsidRDefault="00041182" w:rsidP="00041182">
      <w:pPr>
        <w:autoSpaceDE w:val="0"/>
        <w:autoSpaceDN w:val="0"/>
        <w:adjustRightInd w:val="0"/>
        <w:spacing w:after="0" w:line="240" w:lineRule="auto"/>
        <w:ind w:left="567" w:right="651"/>
        <w:rPr>
          <w:rFonts w:cs="DIN-Bold"/>
          <w:b/>
          <w:bCs/>
          <w:sz w:val="24"/>
          <w:szCs w:val="24"/>
        </w:rPr>
      </w:pPr>
      <w:r w:rsidRPr="00041182">
        <w:rPr>
          <w:rFonts w:cs="DIN-Bold"/>
          <w:b/>
          <w:bCs/>
          <w:sz w:val="24"/>
          <w:szCs w:val="24"/>
        </w:rPr>
        <w:t xml:space="preserve">Top Coat: 2 coats of Select All </w:t>
      </w:r>
      <w:proofErr w:type="gramStart"/>
      <w:r w:rsidRPr="00041182">
        <w:rPr>
          <w:rFonts w:cs="DIN-Bold"/>
          <w:b/>
          <w:bCs/>
          <w:sz w:val="24"/>
          <w:szCs w:val="24"/>
        </w:rPr>
        <w:t>in one Enamel</w:t>
      </w:r>
      <w:proofErr w:type="gramEnd"/>
    </w:p>
    <w:p w:rsidR="00041182" w:rsidRPr="00041182" w:rsidRDefault="00041182" w:rsidP="00041182">
      <w:pPr>
        <w:autoSpaceDE w:val="0"/>
        <w:autoSpaceDN w:val="0"/>
        <w:adjustRightInd w:val="0"/>
        <w:spacing w:after="0" w:line="240" w:lineRule="auto"/>
        <w:ind w:left="567" w:right="651"/>
        <w:rPr>
          <w:rFonts w:cs="DIN-Regular"/>
        </w:rPr>
      </w:pPr>
      <w:r w:rsidRPr="00041182">
        <w:rPr>
          <w:rFonts w:cs="DIN-Regular"/>
        </w:rPr>
        <w:t xml:space="preserve">An enamel based on suitably modified alkyd containing titanium dioxide and other </w:t>
      </w:r>
      <w:proofErr w:type="spellStart"/>
      <w:r w:rsidRPr="00041182">
        <w:rPr>
          <w:rFonts w:cs="DIN-Regular"/>
        </w:rPr>
        <w:t>colorfast</w:t>
      </w:r>
      <w:proofErr w:type="spellEnd"/>
      <w:r w:rsidRPr="00041182">
        <w:rPr>
          <w:rFonts w:cs="DIN-Regular"/>
        </w:rPr>
        <w:t xml:space="preserve"> pigments to provide a tough, durable and hardwearing high gloss finish with good flow, hiding power and film build-up.</w:t>
      </w:r>
    </w:p>
    <w:p w:rsidR="00041182" w:rsidRPr="00041182" w:rsidRDefault="00041182" w:rsidP="00041182">
      <w:pPr>
        <w:autoSpaceDE w:val="0"/>
        <w:autoSpaceDN w:val="0"/>
        <w:adjustRightInd w:val="0"/>
        <w:spacing w:after="0" w:line="240" w:lineRule="auto"/>
        <w:ind w:left="567" w:right="651"/>
        <w:rPr>
          <w:rFonts w:cs="DIN-Bold"/>
          <w:b/>
          <w:bCs/>
        </w:rPr>
      </w:pPr>
    </w:p>
    <w:p w:rsidR="00041182" w:rsidRPr="00041182" w:rsidRDefault="00041182" w:rsidP="00041182">
      <w:pPr>
        <w:autoSpaceDE w:val="0"/>
        <w:autoSpaceDN w:val="0"/>
        <w:adjustRightInd w:val="0"/>
        <w:spacing w:after="0" w:line="240" w:lineRule="auto"/>
        <w:ind w:left="567" w:right="651"/>
        <w:rPr>
          <w:rFonts w:cs="DIN-Regular"/>
        </w:rPr>
      </w:pPr>
      <w:r w:rsidRPr="00041182">
        <w:rPr>
          <w:rFonts w:cs="DIN-Bold"/>
          <w:b/>
          <w:bCs/>
        </w:rPr>
        <w:t xml:space="preserve">Volume Solids: </w:t>
      </w:r>
      <w:r w:rsidRPr="00041182">
        <w:rPr>
          <w:rFonts w:cs="DIN-Regular"/>
        </w:rPr>
        <w:t>44% ± 2%</w:t>
      </w:r>
    </w:p>
    <w:p w:rsidR="00041182" w:rsidRPr="00041182" w:rsidRDefault="00041182" w:rsidP="00041182">
      <w:pPr>
        <w:autoSpaceDE w:val="0"/>
        <w:autoSpaceDN w:val="0"/>
        <w:adjustRightInd w:val="0"/>
        <w:spacing w:after="0" w:line="240" w:lineRule="auto"/>
        <w:ind w:left="567" w:right="651"/>
        <w:rPr>
          <w:rFonts w:cs="DIN-Bold"/>
          <w:b/>
          <w:bCs/>
          <w:sz w:val="24"/>
          <w:szCs w:val="24"/>
        </w:rPr>
      </w:pPr>
    </w:p>
    <w:p w:rsidR="00041182" w:rsidRPr="00041182" w:rsidRDefault="00041182" w:rsidP="00041182">
      <w:pPr>
        <w:autoSpaceDE w:val="0"/>
        <w:autoSpaceDN w:val="0"/>
        <w:adjustRightInd w:val="0"/>
        <w:spacing w:after="0" w:line="240" w:lineRule="auto"/>
        <w:ind w:left="567" w:right="651"/>
        <w:rPr>
          <w:rFonts w:cs="DIN-Bold"/>
          <w:b/>
          <w:bCs/>
          <w:sz w:val="24"/>
          <w:szCs w:val="24"/>
        </w:rPr>
      </w:pPr>
      <w:r w:rsidRPr="00041182">
        <w:rPr>
          <w:rFonts w:cs="DIN-Bold"/>
          <w:b/>
          <w:bCs/>
          <w:sz w:val="24"/>
          <w:szCs w:val="24"/>
        </w:rPr>
        <w:t>Recommended Areas of Application</w:t>
      </w:r>
    </w:p>
    <w:p w:rsidR="00041182" w:rsidRPr="00041182" w:rsidRDefault="00041182" w:rsidP="00041182">
      <w:pPr>
        <w:autoSpaceDE w:val="0"/>
        <w:autoSpaceDN w:val="0"/>
        <w:adjustRightInd w:val="0"/>
        <w:spacing w:after="0" w:line="240" w:lineRule="auto"/>
        <w:ind w:left="567" w:right="651"/>
        <w:rPr>
          <w:rFonts w:cs="DIN-Regular"/>
        </w:rPr>
      </w:pPr>
      <w:r w:rsidRPr="00041182">
        <w:rPr>
          <w:rFonts w:cs="DIN-Bold"/>
          <w:b/>
          <w:bCs/>
        </w:rPr>
        <w:t xml:space="preserve">Area of Use: </w:t>
      </w:r>
      <w:r w:rsidRPr="00041182">
        <w:rPr>
          <w:rFonts w:cs="DIN-Regular"/>
        </w:rPr>
        <w:t>Interior &amp; Exterior</w:t>
      </w:r>
    </w:p>
    <w:p w:rsidR="00041182" w:rsidRDefault="00041182" w:rsidP="00041182">
      <w:pPr>
        <w:ind w:left="567" w:right="651"/>
        <w:rPr>
          <w:rFonts w:cs="DIN-Regular"/>
        </w:rPr>
      </w:pPr>
      <w:r w:rsidRPr="00041182">
        <w:rPr>
          <w:rFonts w:cs="DIN-Bold"/>
          <w:b/>
          <w:bCs/>
        </w:rPr>
        <w:t xml:space="preserve">Substrate: </w:t>
      </w:r>
      <w:r w:rsidRPr="00041182">
        <w:rPr>
          <w:rFonts w:cs="DIN-Regular"/>
        </w:rPr>
        <w:t>Metal, Timber &amp; Masonry surfaces</w:t>
      </w:r>
    </w:p>
    <w:p w:rsidR="00041182" w:rsidRDefault="00041182" w:rsidP="00041182">
      <w:pPr>
        <w:ind w:left="567" w:right="651"/>
      </w:pPr>
    </w:p>
    <w:p w:rsidR="00041182" w:rsidRDefault="00041182" w:rsidP="00041182">
      <w:pPr>
        <w:ind w:left="567" w:right="651"/>
      </w:pPr>
    </w:p>
    <w:p w:rsidR="00041182" w:rsidRPr="00041182" w:rsidRDefault="00041182" w:rsidP="00041182">
      <w:pPr>
        <w:ind w:left="567" w:right="651"/>
      </w:pPr>
      <w:r w:rsidRPr="00041182">
        <w:rPr>
          <w:noProof/>
          <w:lang w:val="en-US"/>
        </w:rPr>
        <w:drawing>
          <wp:anchor distT="0" distB="0" distL="114300" distR="114300" simplePos="0" relativeHeight="251661312" behindDoc="1" locked="0" layoutInCell="1" allowOverlap="1">
            <wp:simplePos x="0" y="0"/>
            <wp:positionH relativeFrom="margin">
              <wp:align>center</wp:align>
            </wp:positionH>
            <wp:positionV relativeFrom="margin">
              <wp:align>bottom</wp:align>
            </wp:positionV>
            <wp:extent cx="7635240" cy="496570"/>
            <wp:effectExtent l="19050" t="0" r="3810" b="0"/>
            <wp:wrapSquare wrapText="bothSides"/>
            <wp:docPr id="6"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635240" cy="496570"/>
                    </a:xfrm>
                    <a:prstGeom prst="rect">
                      <a:avLst/>
                    </a:prstGeom>
                  </pic:spPr>
                </pic:pic>
              </a:graphicData>
            </a:graphic>
          </wp:anchor>
        </w:drawing>
      </w:r>
    </w:p>
    <w:sectPr w:rsidR="00041182" w:rsidRPr="00041182" w:rsidSect="00041182">
      <w:pgSz w:w="11906" w:h="16838"/>
      <w:pgMar w:top="0" w:right="244" w:bottom="0" w:left="23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DIN-Bold">
    <w:panose1 w:val="00000000000000000000"/>
    <w:charset w:val="00"/>
    <w:family w:val="swiss"/>
    <w:notTrueType/>
    <w:pitch w:val="default"/>
    <w:sig w:usb0="00000003" w:usb1="00000000" w:usb2="00000000" w:usb3="00000000" w:csb0="00000001" w:csb1="00000000"/>
  </w:font>
  <w:font w:name="DIN-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rsids>
    <w:rsidRoot w:val="00041182"/>
    <w:rsid w:val="000307A9"/>
    <w:rsid w:val="00041182"/>
    <w:rsid w:val="00174DD6"/>
    <w:rsid w:val="007C4A87"/>
    <w:rsid w:val="00A93F2A"/>
    <w:rsid w:val="00DE0929"/>
    <w:rsid w:val="00EE59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9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124</Words>
  <Characters>709</Characters>
  <Application>Microsoft Office Word</Application>
  <DocSecurity>0</DocSecurity>
  <Lines>5</Lines>
  <Paragraphs>1</Paragraphs>
  <ScaleCrop>false</ScaleCrop>
  <Company>Hewlett-Packard</Company>
  <LinksUpToDate>false</LinksUpToDate>
  <CharactersWithSpaces>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2015-04-21T05:56:00Z</dcterms:created>
  <dcterms:modified xsi:type="dcterms:W3CDTF">2015-07-14T07:13:00Z</dcterms:modified>
</cp:coreProperties>
</file>