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29" w:rsidRDefault="00F04E42">
      <w:r w:rsidRPr="00F04E42">
        <w:rPr>
          <w:noProof/>
          <w:lang w:val="en-US"/>
        </w:rPr>
        <w:drawing>
          <wp:anchor distT="0" distB="0" distL="114300" distR="114300" simplePos="0" relativeHeight="251663360" behindDoc="0" locked="0" layoutInCell="1" allowOverlap="1">
            <wp:simplePos x="0" y="0"/>
            <wp:positionH relativeFrom="margin">
              <wp:align>center</wp:align>
            </wp:positionH>
            <wp:positionV relativeFrom="margin">
              <wp:align>top</wp:align>
            </wp:positionV>
            <wp:extent cx="7616825" cy="1697355"/>
            <wp:effectExtent l="19050" t="0" r="3175"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16825" cy="1697355"/>
                    </a:xfrm>
                    <a:prstGeom prst="rect">
                      <a:avLst/>
                    </a:prstGeom>
                    <a:noFill/>
                    <a:ln w="9525">
                      <a:noFill/>
                      <a:miter lim="800000"/>
                      <a:headEnd/>
                      <a:tailEnd/>
                    </a:ln>
                  </pic:spPr>
                </pic:pic>
              </a:graphicData>
            </a:graphic>
          </wp:anchor>
        </w:drawing>
      </w:r>
    </w:p>
    <w:tbl>
      <w:tblPr>
        <w:tblStyle w:val="TableGrid"/>
        <w:tblW w:w="0" w:type="auto"/>
        <w:tblLook w:val="04A0"/>
      </w:tblPr>
      <w:tblGrid>
        <w:gridCol w:w="11640"/>
      </w:tblGrid>
      <w:tr w:rsidR="004D7E64" w:rsidRPr="004D7E64" w:rsidTr="004D7E64">
        <w:tc>
          <w:tcPr>
            <w:tcW w:w="11640" w:type="dxa"/>
          </w:tcPr>
          <w:p w:rsidR="004D7E64" w:rsidRPr="004D7E64" w:rsidRDefault="00B1613C" w:rsidP="004D7E64">
            <w:pPr>
              <w:jc w:val="center"/>
              <w:rPr>
                <w:sz w:val="28"/>
                <w:szCs w:val="28"/>
              </w:rPr>
            </w:pPr>
            <w:r w:rsidRPr="00B1613C">
              <w:rPr>
                <w:rFonts w:cs="DIN-Bold"/>
                <w:b/>
                <w:bCs/>
                <w:sz w:val="28"/>
                <w:szCs w:val="28"/>
                <w:lang w:val="en-US"/>
              </w:rPr>
              <w:t>SYSTEM: WATER BASE METALLIC PAINT FOR EXTERIORS</w:t>
            </w:r>
          </w:p>
        </w:tc>
      </w:tr>
      <w:tr w:rsidR="004D7E64" w:rsidRPr="004D7E64" w:rsidTr="004D7E64">
        <w:tc>
          <w:tcPr>
            <w:tcW w:w="11640" w:type="dxa"/>
          </w:tcPr>
          <w:p w:rsidR="004D7E64" w:rsidRPr="004D7E64" w:rsidRDefault="004D7E64" w:rsidP="004D7E64">
            <w:pPr>
              <w:jc w:val="center"/>
              <w:rPr>
                <w:sz w:val="28"/>
                <w:szCs w:val="28"/>
              </w:rPr>
            </w:pPr>
            <w:r w:rsidRPr="004D7E64">
              <w:rPr>
                <w:b/>
                <w:bCs/>
                <w:sz w:val="28"/>
                <w:szCs w:val="28"/>
              </w:rPr>
              <w:t>Concrete and Masonry Surface – Exteriors</w:t>
            </w:r>
          </w:p>
        </w:tc>
      </w:tr>
    </w:tbl>
    <w:p w:rsidR="004D7E64" w:rsidRDefault="004D7E64"/>
    <w:p w:rsidR="004D7E64" w:rsidRPr="004D7E64" w:rsidRDefault="004D7E64" w:rsidP="004D7E64">
      <w:pPr>
        <w:autoSpaceDE w:val="0"/>
        <w:autoSpaceDN w:val="0"/>
        <w:adjustRightInd w:val="0"/>
        <w:spacing w:after="0" w:line="240" w:lineRule="auto"/>
        <w:ind w:left="567" w:right="651"/>
        <w:rPr>
          <w:rFonts w:cs="DIN-Bold"/>
          <w:b/>
          <w:bCs/>
          <w:color w:val="000000" w:themeColor="text1"/>
          <w:sz w:val="28"/>
          <w:szCs w:val="28"/>
        </w:rPr>
      </w:pPr>
      <w:r w:rsidRPr="004D7E64">
        <w:rPr>
          <w:rFonts w:cs="DIN-Bold"/>
          <w:b/>
          <w:bCs/>
          <w:color w:val="000000" w:themeColor="text1"/>
          <w:sz w:val="28"/>
          <w:szCs w:val="28"/>
        </w:rPr>
        <w:t>System Description</w:t>
      </w:r>
    </w:p>
    <w:p w:rsidR="004D7E64" w:rsidRPr="004D7E64" w:rsidRDefault="004D7E64" w:rsidP="004D7E64">
      <w:pPr>
        <w:autoSpaceDE w:val="0"/>
        <w:autoSpaceDN w:val="0"/>
        <w:adjustRightInd w:val="0"/>
        <w:spacing w:after="0" w:line="240" w:lineRule="auto"/>
        <w:ind w:left="567" w:right="651"/>
        <w:rPr>
          <w:rFonts w:cs="DIN-Bold"/>
          <w:b/>
          <w:bCs/>
          <w:color w:val="000000" w:themeColor="text1"/>
          <w:sz w:val="26"/>
          <w:szCs w:val="26"/>
        </w:rPr>
      </w:pPr>
      <w:r w:rsidRPr="004D7E64">
        <w:rPr>
          <w:rFonts w:cs="DIN-Bold"/>
          <w:b/>
          <w:bCs/>
          <w:color w:val="000000" w:themeColor="text1"/>
          <w:sz w:val="26"/>
          <w:szCs w:val="26"/>
        </w:rPr>
        <w:t>Primary Coat: 1 coat of TUFF AR Primer</w:t>
      </w:r>
    </w:p>
    <w:p w:rsidR="004D7E64" w:rsidRPr="004D7E64" w:rsidRDefault="004D7E64" w:rsidP="004D7E64">
      <w:pPr>
        <w:autoSpaceDE w:val="0"/>
        <w:autoSpaceDN w:val="0"/>
        <w:adjustRightInd w:val="0"/>
        <w:spacing w:after="0" w:line="240" w:lineRule="auto"/>
        <w:ind w:left="567" w:right="651"/>
        <w:rPr>
          <w:rFonts w:cs="DIN-Regular"/>
          <w:color w:val="000000" w:themeColor="text1"/>
        </w:rPr>
      </w:pPr>
      <w:r w:rsidRPr="004D7E64">
        <w:rPr>
          <w:rFonts w:cs="DIN-Regular"/>
          <w:color w:val="000000" w:themeColor="text1"/>
        </w:rPr>
        <w:t xml:space="preserve">A water based primer based on NANO acrylic emulsion pigmented with titanium dioxide and other light fast and alkali resisting pigments. Due to its superior design and consistency when properly applied this is capable of a giving maximum spreading rate of 100 </w:t>
      </w:r>
      <w:proofErr w:type="spellStart"/>
      <w:r w:rsidRPr="004D7E64">
        <w:rPr>
          <w:rFonts w:cs="DIN-Regular"/>
          <w:color w:val="000000" w:themeColor="text1"/>
        </w:rPr>
        <w:t>sqm</w:t>
      </w:r>
      <w:proofErr w:type="spellEnd"/>
      <w:r w:rsidRPr="004D7E64">
        <w:rPr>
          <w:rFonts w:cs="DIN-Regular"/>
          <w:color w:val="000000" w:themeColor="text1"/>
        </w:rPr>
        <w:t xml:space="preserve"> per 20 kg per two coats. </w:t>
      </w:r>
    </w:p>
    <w:p w:rsidR="004D7E64" w:rsidRPr="004D7E64" w:rsidRDefault="004D7E64" w:rsidP="004D7E64">
      <w:pPr>
        <w:autoSpaceDE w:val="0"/>
        <w:autoSpaceDN w:val="0"/>
        <w:adjustRightInd w:val="0"/>
        <w:spacing w:after="0" w:line="240" w:lineRule="auto"/>
        <w:ind w:left="567" w:right="651"/>
        <w:rPr>
          <w:rFonts w:cs="DIN-Regular"/>
          <w:color w:val="000000" w:themeColor="text1"/>
        </w:rPr>
      </w:pPr>
    </w:p>
    <w:p w:rsidR="004D7E64" w:rsidRPr="004D7E64" w:rsidRDefault="004D7E64" w:rsidP="004D7E64">
      <w:pPr>
        <w:autoSpaceDE w:val="0"/>
        <w:autoSpaceDN w:val="0"/>
        <w:adjustRightInd w:val="0"/>
        <w:spacing w:after="0" w:line="240" w:lineRule="auto"/>
        <w:ind w:left="567" w:right="651"/>
        <w:rPr>
          <w:rFonts w:cs="DIN-Regular"/>
          <w:color w:val="000000" w:themeColor="text1"/>
        </w:rPr>
      </w:pPr>
      <w:r w:rsidRPr="004D7E64">
        <w:rPr>
          <w:rFonts w:cs="DIN-Bold"/>
          <w:b/>
          <w:bCs/>
          <w:color w:val="000000" w:themeColor="text1"/>
        </w:rPr>
        <w:t xml:space="preserve">Volume Solids: </w:t>
      </w:r>
      <w:r w:rsidRPr="004D7E64">
        <w:rPr>
          <w:rFonts w:cs="DIN-Regular"/>
          <w:color w:val="000000" w:themeColor="text1"/>
        </w:rPr>
        <w:t>30% ± 2%</w:t>
      </w:r>
    </w:p>
    <w:p w:rsidR="004D7E64" w:rsidRPr="004D7E64" w:rsidRDefault="004D7E64" w:rsidP="004D7E64">
      <w:pPr>
        <w:autoSpaceDE w:val="0"/>
        <w:autoSpaceDN w:val="0"/>
        <w:adjustRightInd w:val="0"/>
        <w:spacing w:after="0" w:line="240" w:lineRule="auto"/>
        <w:ind w:left="567" w:right="651"/>
        <w:rPr>
          <w:rFonts w:cs="DIN-Bold"/>
          <w:b/>
          <w:bCs/>
          <w:color w:val="000000" w:themeColor="text1"/>
          <w:sz w:val="24"/>
          <w:szCs w:val="24"/>
        </w:rPr>
      </w:pPr>
    </w:p>
    <w:p w:rsidR="004D7E64" w:rsidRPr="004D7E64" w:rsidRDefault="00B1613C" w:rsidP="004D7E64">
      <w:pPr>
        <w:autoSpaceDE w:val="0"/>
        <w:autoSpaceDN w:val="0"/>
        <w:adjustRightInd w:val="0"/>
        <w:spacing w:after="0" w:line="240" w:lineRule="auto"/>
        <w:ind w:left="567" w:right="651"/>
        <w:rPr>
          <w:rFonts w:cs="DIN-Bold"/>
          <w:b/>
          <w:bCs/>
          <w:color w:val="000000" w:themeColor="text1"/>
          <w:sz w:val="26"/>
          <w:szCs w:val="26"/>
        </w:rPr>
      </w:pPr>
      <w:r>
        <w:rPr>
          <w:rFonts w:cs="DIN-Bold"/>
          <w:b/>
          <w:bCs/>
          <w:color w:val="000000" w:themeColor="text1"/>
          <w:sz w:val="26"/>
          <w:szCs w:val="26"/>
        </w:rPr>
        <w:t>Secondary Coat</w:t>
      </w:r>
      <w:r w:rsidR="004D7E64" w:rsidRPr="004D7E64">
        <w:rPr>
          <w:rFonts w:cs="DIN-Bold"/>
          <w:b/>
          <w:bCs/>
          <w:color w:val="000000" w:themeColor="text1"/>
          <w:sz w:val="26"/>
          <w:szCs w:val="26"/>
        </w:rPr>
        <w:t>: 2 coats of TUFF Exterior Emulsion</w:t>
      </w:r>
    </w:p>
    <w:p w:rsidR="004D7E64" w:rsidRPr="004D7E64" w:rsidRDefault="004D7E64" w:rsidP="004D7E64">
      <w:pPr>
        <w:autoSpaceDE w:val="0"/>
        <w:autoSpaceDN w:val="0"/>
        <w:adjustRightInd w:val="0"/>
        <w:spacing w:after="0" w:line="240" w:lineRule="auto"/>
        <w:ind w:left="567" w:right="651"/>
        <w:rPr>
          <w:rFonts w:cs="DIN-Regular"/>
          <w:color w:val="000000" w:themeColor="text1"/>
        </w:rPr>
      </w:pPr>
      <w:r w:rsidRPr="004D7E64">
        <w:rPr>
          <w:rFonts w:cs="DIN-Regular"/>
          <w:color w:val="000000" w:themeColor="text1"/>
        </w:rPr>
        <w:t xml:space="preserve">An emulsion based on NANO acrylic emulsion pigmented with titanium dioxide and other light fast and alkali resisting pigments. Due to its superior design and consistency when properly applied this is capable of a giving maximum spreading rate of 120 </w:t>
      </w:r>
      <w:proofErr w:type="spellStart"/>
      <w:r w:rsidRPr="004D7E64">
        <w:rPr>
          <w:rFonts w:cs="DIN-Regular"/>
          <w:color w:val="000000" w:themeColor="text1"/>
        </w:rPr>
        <w:t>sqm</w:t>
      </w:r>
      <w:proofErr w:type="spellEnd"/>
      <w:r w:rsidRPr="004D7E64">
        <w:rPr>
          <w:rFonts w:cs="DIN-Regular"/>
          <w:color w:val="000000" w:themeColor="text1"/>
        </w:rPr>
        <w:t xml:space="preserve"> per 20 kg per two coats. Further Tuff Exterior emulsion provides excellent long lasting adhesion on variety of textured surface coupled with good anti-microbial resistance. In addition its high scrub resistance due to excellent binding capability of NANO emulsion makes it ideal for tough Middle East Climate. Further it has excellent UV resistance to provide a long lasting aesthetics to exterior facades.</w:t>
      </w:r>
    </w:p>
    <w:p w:rsidR="004D7E64" w:rsidRPr="004D7E64" w:rsidRDefault="004D7E64" w:rsidP="004D7E64">
      <w:pPr>
        <w:autoSpaceDE w:val="0"/>
        <w:autoSpaceDN w:val="0"/>
        <w:adjustRightInd w:val="0"/>
        <w:spacing w:after="0" w:line="240" w:lineRule="auto"/>
        <w:ind w:left="567" w:right="651"/>
        <w:rPr>
          <w:rFonts w:cs="DIN-Regular"/>
          <w:color w:val="000000" w:themeColor="text1"/>
        </w:rPr>
      </w:pPr>
    </w:p>
    <w:p w:rsidR="004D7E64" w:rsidRPr="004D7E64" w:rsidRDefault="004D7E64" w:rsidP="004D7E64">
      <w:pPr>
        <w:autoSpaceDE w:val="0"/>
        <w:autoSpaceDN w:val="0"/>
        <w:adjustRightInd w:val="0"/>
        <w:spacing w:after="0" w:line="240" w:lineRule="auto"/>
        <w:ind w:left="567" w:right="651"/>
        <w:rPr>
          <w:rFonts w:cs="DIN-Regular"/>
          <w:color w:val="000000" w:themeColor="text1"/>
        </w:rPr>
      </w:pPr>
      <w:r w:rsidRPr="004D7E64">
        <w:rPr>
          <w:rFonts w:cs="DIN-Bold"/>
          <w:b/>
          <w:bCs/>
          <w:color w:val="000000" w:themeColor="text1"/>
        </w:rPr>
        <w:t xml:space="preserve">Volume Solids: </w:t>
      </w:r>
      <w:r w:rsidRPr="004D7E64">
        <w:rPr>
          <w:rFonts w:cs="DIN-Regular"/>
          <w:color w:val="000000" w:themeColor="text1"/>
        </w:rPr>
        <w:t>44% ± 2% (Matt), 35% ± 2% (</w:t>
      </w:r>
      <w:proofErr w:type="spellStart"/>
      <w:r w:rsidRPr="004D7E64">
        <w:rPr>
          <w:rFonts w:cs="DIN-Regular"/>
          <w:color w:val="000000" w:themeColor="text1"/>
        </w:rPr>
        <w:t>Shyne</w:t>
      </w:r>
      <w:proofErr w:type="spellEnd"/>
      <w:r w:rsidRPr="004D7E64">
        <w:rPr>
          <w:rFonts w:cs="DIN-Regular"/>
          <w:color w:val="000000" w:themeColor="text1"/>
        </w:rPr>
        <w:t>)</w:t>
      </w:r>
    </w:p>
    <w:p w:rsidR="004D7E64" w:rsidRPr="004D7E64" w:rsidRDefault="004D7E64" w:rsidP="004D7E64">
      <w:pPr>
        <w:autoSpaceDE w:val="0"/>
        <w:autoSpaceDN w:val="0"/>
        <w:adjustRightInd w:val="0"/>
        <w:spacing w:after="0" w:line="240" w:lineRule="auto"/>
        <w:ind w:left="567" w:right="651"/>
        <w:rPr>
          <w:rFonts w:cs="DIN-Regular"/>
          <w:color w:val="000000" w:themeColor="text1"/>
        </w:rPr>
      </w:pPr>
      <w:r w:rsidRPr="004D7E64">
        <w:rPr>
          <w:rFonts w:cs="DIN-Bold"/>
          <w:b/>
          <w:bCs/>
          <w:color w:val="000000" w:themeColor="text1"/>
        </w:rPr>
        <w:t xml:space="preserve">Sheen Variant: </w:t>
      </w:r>
      <w:r w:rsidRPr="004D7E64">
        <w:rPr>
          <w:rFonts w:cs="DIN-Regular"/>
          <w:color w:val="000000" w:themeColor="text1"/>
        </w:rPr>
        <w:t>MATT and SHYNE</w:t>
      </w:r>
    </w:p>
    <w:p w:rsidR="004D7E64" w:rsidRDefault="004D7E64" w:rsidP="004D7E64">
      <w:pPr>
        <w:autoSpaceDE w:val="0"/>
        <w:autoSpaceDN w:val="0"/>
        <w:adjustRightInd w:val="0"/>
        <w:spacing w:after="0" w:line="240" w:lineRule="auto"/>
        <w:ind w:left="567" w:right="651"/>
        <w:rPr>
          <w:rFonts w:cs="DIN-Bold"/>
          <w:b/>
          <w:bCs/>
          <w:color w:val="000000" w:themeColor="text1"/>
          <w:sz w:val="24"/>
          <w:szCs w:val="24"/>
        </w:rPr>
      </w:pPr>
    </w:p>
    <w:p w:rsidR="00B1613C" w:rsidRPr="00B1613C" w:rsidRDefault="00B1613C" w:rsidP="00B1613C">
      <w:pPr>
        <w:autoSpaceDE w:val="0"/>
        <w:autoSpaceDN w:val="0"/>
        <w:adjustRightInd w:val="0"/>
        <w:spacing w:after="0" w:line="240" w:lineRule="auto"/>
        <w:ind w:left="567" w:right="651"/>
        <w:rPr>
          <w:rFonts w:cs="DIN-Bold"/>
          <w:b/>
          <w:bCs/>
          <w:color w:val="000000" w:themeColor="text1"/>
          <w:sz w:val="26"/>
          <w:szCs w:val="26"/>
        </w:rPr>
      </w:pPr>
      <w:r w:rsidRPr="00B1613C">
        <w:rPr>
          <w:rFonts w:cs="DIN-Bold"/>
          <w:b/>
          <w:bCs/>
          <w:color w:val="000000" w:themeColor="text1"/>
          <w:sz w:val="26"/>
          <w:szCs w:val="26"/>
        </w:rPr>
        <w:t xml:space="preserve">Top Coat: TUFF </w:t>
      </w:r>
      <w:proofErr w:type="spellStart"/>
      <w:r w:rsidRPr="00B1613C">
        <w:rPr>
          <w:rFonts w:cs="DIN-Bold"/>
          <w:b/>
          <w:bCs/>
          <w:color w:val="000000" w:themeColor="text1"/>
          <w:sz w:val="26"/>
          <w:szCs w:val="26"/>
        </w:rPr>
        <w:t>Metallics</w:t>
      </w:r>
      <w:proofErr w:type="spellEnd"/>
    </w:p>
    <w:p w:rsidR="00B1613C" w:rsidRPr="00B1613C" w:rsidRDefault="00B1613C" w:rsidP="00B1613C">
      <w:pPr>
        <w:autoSpaceDE w:val="0"/>
        <w:autoSpaceDN w:val="0"/>
        <w:adjustRightInd w:val="0"/>
        <w:spacing w:after="0" w:line="240" w:lineRule="auto"/>
        <w:ind w:left="540"/>
        <w:rPr>
          <w:rFonts w:cs="DIN-Regular"/>
          <w:color w:val="000000" w:themeColor="text1"/>
        </w:rPr>
      </w:pPr>
      <w:r w:rsidRPr="00B1613C">
        <w:rPr>
          <w:rFonts w:cs="DIN-Regular"/>
          <w:color w:val="000000" w:themeColor="text1"/>
        </w:rPr>
        <w:t xml:space="preserve">Tuff Metallic is a high quality water-based acrylic metallic paint. Produces uniform Metallic lustre, in fascinating colour range, adding a new dimension to your walls. Different lighting arrangements change the hue, and the colour moves with you. Tuff Metallic has long workable time of up to 5-10 minutes. Resists soap and water </w:t>
      </w:r>
      <w:proofErr w:type="spellStart"/>
      <w:r w:rsidRPr="00B1613C">
        <w:rPr>
          <w:rFonts w:cs="DIN-Regular"/>
          <w:color w:val="000000" w:themeColor="text1"/>
        </w:rPr>
        <w:t>clean up</w:t>
      </w:r>
      <w:proofErr w:type="spellEnd"/>
      <w:r w:rsidRPr="00B1613C">
        <w:rPr>
          <w:rFonts w:cs="DIN-Regular"/>
          <w:color w:val="000000" w:themeColor="text1"/>
        </w:rPr>
        <w:t xml:space="preserve"> (high </w:t>
      </w:r>
      <w:proofErr w:type="spellStart"/>
      <w:r w:rsidRPr="00B1613C">
        <w:rPr>
          <w:rFonts w:cs="DIN-Regular"/>
          <w:color w:val="000000" w:themeColor="text1"/>
        </w:rPr>
        <w:t>washability</w:t>
      </w:r>
      <w:proofErr w:type="spellEnd"/>
      <w:r w:rsidRPr="00B1613C">
        <w:rPr>
          <w:rFonts w:cs="DIN-Regular"/>
          <w:color w:val="000000" w:themeColor="text1"/>
        </w:rPr>
        <w:t xml:space="preserve"> resistance).</w:t>
      </w:r>
      <w:r>
        <w:rPr>
          <w:rFonts w:cs="DIN-Regular"/>
          <w:color w:val="000000" w:themeColor="text1"/>
        </w:rPr>
        <w:t xml:space="preserve"> </w:t>
      </w:r>
      <w:r w:rsidRPr="00B1613C">
        <w:rPr>
          <w:rFonts w:cs="DIN-Regular"/>
          <w:color w:val="000000" w:themeColor="text1"/>
        </w:rPr>
        <w:t>Environment friendly water based, lead-free formulation.</w:t>
      </w:r>
    </w:p>
    <w:p w:rsidR="00B1613C" w:rsidRPr="00B1613C" w:rsidRDefault="00B1613C" w:rsidP="00B1613C">
      <w:pPr>
        <w:autoSpaceDE w:val="0"/>
        <w:autoSpaceDN w:val="0"/>
        <w:adjustRightInd w:val="0"/>
        <w:spacing w:after="0" w:line="240" w:lineRule="auto"/>
        <w:ind w:left="540" w:right="651"/>
        <w:rPr>
          <w:rFonts w:cs="DIN-Regular"/>
          <w:color w:val="000000" w:themeColor="text1"/>
        </w:rPr>
      </w:pPr>
    </w:p>
    <w:p w:rsidR="00B1613C" w:rsidRPr="00B1613C" w:rsidRDefault="00B1613C" w:rsidP="00B1613C">
      <w:pPr>
        <w:autoSpaceDE w:val="0"/>
        <w:autoSpaceDN w:val="0"/>
        <w:adjustRightInd w:val="0"/>
        <w:spacing w:after="0" w:line="240" w:lineRule="auto"/>
        <w:ind w:left="540" w:right="651"/>
        <w:rPr>
          <w:rFonts w:cs="DIN-Regular"/>
          <w:color w:val="000000" w:themeColor="text1"/>
        </w:rPr>
      </w:pPr>
      <w:r>
        <w:rPr>
          <w:rFonts w:cs="DIN-Regular"/>
          <w:color w:val="000000" w:themeColor="text1"/>
        </w:rPr>
        <w:t>Sheen Variant</w:t>
      </w:r>
      <w:r w:rsidRPr="00B1613C">
        <w:rPr>
          <w:rFonts w:cs="DIN-Regular"/>
          <w:color w:val="000000" w:themeColor="text1"/>
        </w:rPr>
        <w:t>: Low Sheen</w:t>
      </w:r>
    </w:p>
    <w:p w:rsidR="004D7E64" w:rsidRPr="004D7E64" w:rsidRDefault="004D7E64" w:rsidP="004D7E64">
      <w:pPr>
        <w:autoSpaceDE w:val="0"/>
        <w:autoSpaceDN w:val="0"/>
        <w:adjustRightInd w:val="0"/>
        <w:spacing w:after="0" w:line="240" w:lineRule="auto"/>
        <w:ind w:left="567" w:right="651"/>
        <w:rPr>
          <w:rFonts w:cs="DIN-Bold"/>
          <w:b/>
          <w:bCs/>
          <w:color w:val="000000" w:themeColor="text1"/>
          <w:sz w:val="24"/>
          <w:szCs w:val="24"/>
        </w:rPr>
      </w:pPr>
    </w:p>
    <w:p w:rsidR="004D7E64" w:rsidRPr="004D7E64" w:rsidRDefault="004D7E64" w:rsidP="004D7E64">
      <w:pPr>
        <w:autoSpaceDE w:val="0"/>
        <w:autoSpaceDN w:val="0"/>
        <w:adjustRightInd w:val="0"/>
        <w:spacing w:after="0" w:line="240" w:lineRule="auto"/>
        <w:ind w:left="567" w:right="651"/>
        <w:rPr>
          <w:rFonts w:cs="DIN-Bold"/>
          <w:b/>
          <w:bCs/>
          <w:color w:val="000000" w:themeColor="text1"/>
          <w:sz w:val="24"/>
          <w:szCs w:val="24"/>
        </w:rPr>
      </w:pPr>
      <w:r w:rsidRPr="004D7E64">
        <w:rPr>
          <w:rFonts w:cs="DIN-Bold"/>
          <w:b/>
          <w:bCs/>
          <w:color w:val="000000" w:themeColor="text1"/>
          <w:sz w:val="24"/>
          <w:szCs w:val="24"/>
        </w:rPr>
        <w:t>Recommended Areas of Application</w:t>
      </w:r>
    </w:p>
    <w:p w:rsidR="00B1613C" w:rsidRPr="00B1613C" w:rsidRDefault="00B1613C" w:rsidP="00B1613C">
      <w:pPr>
        <w:autoSpaceDE w:val="0"/>
        <w:autoSpaceDN w:val="0"/>
        <w:adjustRightInd w:val="0"/>
        <w:spacing w:after="0" w:line="240" w:lineRule="auto"/>
        <w:ind w:left="567" w:right="651"/>
        <w:rPr>
          <w:rFonts w:cs="DIN-Bold"/>
          <w:b/>
          <w:bCs/>
          <w:color w:val="000000" w:themeColor="text1"/>
        </w:rPr>
      </w:pPr>
      <w:r w:rsidRPr="00B1613C">
        <w:rPr>
          <w:rFonts w:cs="DIN-Bold"/>
          <w:b/>
          <w:bCs/>
          <w:color w:val="000000" w:themeColor="text1"/>
        </w:rPr>
        <w:t xml:space="preserve">Area of Use: </w:t>
      </w:r>
      <w:r w:rsidRPr="00160315">
        <w:rPr>
          <w:rFonts w:cs="DIN-Bold"/>
          <w:bCs/>
          <w:color w:val="000000" w:themeColor="text1"/>
        </w:rPr>
        <w:t>Exterior only</w:t>
      </w:r>
    </w:p>
    <w:p w:rsidR="00B1613C" w:rsidRDefault="00B1613C" w:rsidP="00B1613C">
      <w:pPr>
        <w:autoSpaceDE w:val="0"/>
        <w:autoSpaceDN w:val="0"/>
        <w:adjustRightInd w:val="0"/>
        <w:spacing w:after="0" w:line="240" w:lineRule="auto"/>
        <w:ind w:left="567" w:right="651"/>
        <w:rPr>
          <w:rFonts w:cs="DIN-Bold"/>
          <w:b/>
          <w:bCs/>
          <w:color w:val="000000" w:themeColor="text1"/>
        </w:rPr>
      </w:pPr>
      <w:r w:rsidRPr="00B1613C">
        <w:rPr>
          <w:rFonts w:cs="DIN-Bold"/>
          <w:b/>
          <w:bCs/>
          <w:color w:val="000000" w:themeColor="text1"/>
        </w:rPr>
        <w:t xml:space="preserve">Substrate: </w:t>
      </w:r>
      <w:r w:rsidRPr="00160315">
        <w:rPr>
          <w:rFonts w:cs="DIN-Bold"/>
          <w:bCs/>
          <w:color w:val="000000" w:themeColor="text1"/>
        </w:rPr>
        <w:t>Concrete, Plaster, Masonry, Gypsum, Timber.</w:t>
      </w:r>
    </w:p>
    <w:p w:rsidR="004D7E64" w:rsidRDefault="004D7E64" w:rsidP="004D7E64">
      <w:pPr>
        <w:ind w:left="567" w:right="651"/>
      </w:pPr>
    </w:p>
    <w:p w:rsidR="004D7E64" w:rsidRPr="004D7E64" w:rsidRDefault="004D7E64" w:rsidP="004D7E64">
      <w:pPr>
        <w:ind w:left="567" w:right="651"/>
        <w:rPr>
          <w:color w:val="000000" w:themeColor="text1"/>
        </w:rPr>
      </w:pPr>
      <w:r w:rsidRPr="004D7E64">
        <w:rPr>
          <w:noProof/>
          <w:lang w:val="en-US"/>
        </w:rPr>
        <w:drawing>
          <wp:anchor distT="0" distB="0" distL="114300" distR="114300" simplePos="0" relativeHeight="251661312" behindDoc="1" locked="0" layoutInCell="1" allowOverlap="1">
            <wp:simplePos x="0" y="0"/>
            <wp:positionH relativeFrom="column">
              <wp:posOffset>-132080</wp:posOffset>
            </wp:positionH>
            <wp:positionV relativeFrom="paragraph">
              <wp:posOffset>2404745</wp:posOffset>
            </wp:positionV>
            <wp:extent cx="7600950" cy="485775"/>
            <wp:effectExtent l="19050" t="0" r="0" b="0"/>
            <wp:wrapTight wrapText="bothSides">
              <wp:wrapPolygon edited="0">
                <wp:start x="-54" y="0"/>
                <wp:lineTo x="-54" y="21094"/>
                <wp:lineTo x="21600" y="21094"/>
                <wp:lineTo x="21600" y="0"/>
                <wp:lineTo x="-54" y="0"/>
              </wp:wrapPolygon>
            </wp:wrapTight>
            <wp:docPr id="15"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7680"/>
                    </a:xfrm>
                    <a:prstGeom prst="rect">
                      <a:avLst/>
                    </a:prstGeom>
                  </pic:spPr>
                </pic:pic>
              </a:graphicData>
            </a:graphic>
          </wp:anchor>
        </w:drawing>
      </w:r>
    </w:p>
    <w:sectPr w:rsidR="004D7E64" w:rsidRPr="004D7E64" w:rsidSect="004D7E64">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D7E64"/>
    <w:rsid w:val="000307A9"/>
    <w:rsid w:val="00160315"/>
    <w:rsid w:val="00160FD4"/>
    <w:rsid w:val="002A0DEE"/>
    <w:rsid w:val="004D7E64"/>
    <w:rsid w:val="00902481"/>
    <w:rsid w:val="00B1613C"/>
    <w:rsid w:val="00B5192B"/>
    <w:rsid w:val="00DE0929"/>
    <w:rsid w:val="00EE59E3"/>
    <w:rsid w:val="00F04E42"/>
    <w:rsid w:val="00FA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2015-07-13T11:11:00Z</dcterms:created>
  <dcterms:modified xsi:type="dcterms:W3CDTF">2015-07-14T07:38:00Z</dcterms:modified>
</cp:coreProperties>
</file>