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CC8" w:rsidRDefault="00F06CC8" w:rsidP="005E493F">
      <w:pPr>
        <w:spacing w:after="0" w:line="240" w:lineRule="auto"/>
        <w:jc w:val="center"/>
        <w:rPr>
          <w:noProof/>
        </w:rPr>
      </w:pPr>
      <w:r w:rsidRPr="00F06CC8">
        <w:rPr>
          <w:noProof/>
        </w:rPr>
        <w:drawing>
          <wp:anchor distT="0" distB="0" distL="114300" distR="114300" simplePos="0" relativeHeight="251667456" behindDoc="0" locked="0" layoutInCell="1" allowOverlap="1">
            <wp:simplePos x="0" y="0"/>
            <wp:positionH relativeFrom="margin">
              <wp:posOffset>0</wp:posOffset>
            </wp:positionH>
            <wp:positionV relativeFrom="margin">
              <wp:posOffset>0</wp:posOffset>
            </wp:positionV>
            <wp:extent cx="7635240" cy="1695450"/>
            <wp:effectExtent l="19050" t="0" r="3810" b="0"/>
            <wp:wrapSquare wrapText="bothSides"/>
            <wp:docPr id="6"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635240" cy="1699895"/>
                    </a:xfrm>
                    <a:prstGeom prst="rect">
                      <a:avLst/>
                    </a:prstGeom>
                    <a:noFill/>
                    <a:ln w="9525">
                      <a:noFill/>
                      <a:miter lim="800000"/>
                      <a:headEnd/>
                      <a:tailEnd/>
                    </a:ln>
                  </pic:spPr>
                </pic:pic>
              </a:graphicData>
            </a:graphic>
          </wp:anchor>
        </w:drawing>
      </w:r>
    </w:p>
    <w:p w:rsidR="005E493F" w:rsidRPr="005E493F" w:rsidRDefault="005E493F" w:rsidP="005E493F">
      <w:pPr>
        <w:spacing w:after="0" w:line="240" w:lineRule="auto"/>
        <w:jc w:val="center"/>
        <w:rPr>
          <w:rFonts w:cs="DIN-Bold"/>
          <w:b/>
          <w:bCs/>
          <w:sz w:val="28"/>
          <w:szCs w:val="28"/>
        </w:rPr>
      </w:pPr>
      <w:r w:rsidRPr="005E493F">
        <w:rPr>
          <w:rFonts w:cs="DIN-Bold"/>
          <w:b/>
          <w:bCs/>
          <w:sz w:val="28"/>
          <w:szCs w:val="28"/>
        </w:rPr>
        <w:t>SELECT HEAVY TEXTURE (WOMC)</w:t>
      </w:r>
    </w:p>
    <w:p w:rsidR="005E493F" w:rsidRPr="005E493F" w:rsidRDefault="005E493F" w:rsidP="005E493F">
      <w:pPr>
        <w:autoSpaceDE w:val="0"/>
        <w:autoSpaceDN w:val="0"/>
        <w:adjustRightInd w:val="0"/>
        <w:spacing w:after="0" w:line="240" w:lineRule="auto"/>
        <w:rPr>
          <w:rFonts w:cs="DIN-Bold"/>
          <w:b/>
          <w:bCs/>
          <w:sz w:val="20"/>
          <w:szCs w:val="20"/>
        </w:rPr>
      </w:pPr>
    </w:p>
    <w:p w:rsidR="005E493F" w:rsidRPr="005E493F" w:rsidRDefault="005E493F" w:rsidP="005E493F">
      <w:pPr>
        <w:autoSpaceDE w:val="0"/>
        <w:autoSpaceDN w:val="0"/>
        <w:adjustRightInd w:val="0"/>
        <w:spacing w:after="0" w:line="240" w:lineRule="auto"/>
        <w:ind w:left="720" w:right="1107"/>
        <w:rPr>
          <w:rFonts w:cs="DIN-Bold"/>
          <w:b/>
          <w:bCs/>
          <w:sz w:val="24"/>
          <w:szCs w:val="24"/>
        </w:rPr>
      </w:pPr>
      <w:r w:rsidRPr="005E493F">
        <w:rPr>
          <w:rFonts w:cs="DIN-Bold"/>
          <w:b/>
          <w:bCs/>
          <w:sz w:val="24"/>
          <w:szCs w:val="24"/>
        </w:rPr>
        <w:t>Product Description</w:t>
      </w:r>
    </w:p>
    <w:p w:rsidR="005E493F" w:rsidRPr="005E493F" w:rsidRDefault="005E493F" w:rsidP="005E493F">
      <w:pPr>
        <w:autoSpaceDE w:val="0"/>
        <w:autoSpaceDN w:val="0"/>
        <w:adjustRightInd w:val="0"/>
        <w:spacing w:after="0" w:line="240" w:lineRule="auto"/>
        <w:ind w:left="720" w:right="1107"/>
        <w:rPr>
          <w:rFonts w:cs="DIN-Regular"/>
        </w:rPr>
      </w:pPr>
      <w:r w:rsidRPr="005E493F">
        <w:rPr>
          <w:rFonts w:cs="DIN-Regular"/>
        </w:rPr>
        <w:t xml:space="preserve">A heavy texture coating based on a tough, flexible </w:t>
      </w:r>
      <w:proofErr w:type="spellStart"/>
      <w:r w:rsidRPr="005E493F">
        <w:rPr>
          <w:rFonts w:cs="DIN-Regular"/>
        </w:rPr>
        <w:t>acrylate</w:t>
      </w:r>
      <w:proofErr w:type="spellEnd"/>
      <w:r w:rsidRPr="005E493F">
        <w:rPr>
          <w:rFonts w:cs="DIN-Regular"/>
        </w:rPr>
        <w:t xml:space="preserve"> co-polymer resin, pigmented with titanium dioxide and other light fast pigments reinforced with selected quartz aggregates and mica. Its formulation incorporating fungicides and algaecides, and its heavy build ensures good weather resistance, and also helps cover surface cracks and irregularities.</w:t>
      </w:r>
    </w:p>
    <w:p w:rsidR="005E493F" w:rsidRPr="005E493F" w:rsidRDefault="005E493F" w:rsidP="005E493F">
      <w:pPr>
        <w:autoSpaceDE w:val="0"/>
        <w:autoSpaceDN w:val="0"/>
        <w:adjustRightInd w:val="0"/>
        <w:spacing w:after="0" w:line="240" w:lineRule="auto"/>
        <w:ind w:left="720" w:right="1107"/>
        <w:rPr>
          <w:rFonts w:cs="DIN-Bold"/>
          <w:b/>
          <w:bCs/>
          <w:sz w:val="20"/>
          <w:szCs w:val="20"/>
        </w:rPr>
      </w:pPr>
    </w:p>
    <w:p w:rsidR="005E493F" w:rsidRPr="005E493F" w:rsidRDefault="005E493F" w:rsidP="005E493F">
      <w:pPr>
        <w:autoSpaceDE w:val="0"/>
        <w:autoSpaceDN w:val="0"/>
        <w:adjustRightInd w:val="0"/>
        <w:spacing w:after="0" w:line="240" w:lineRule="auto"/>
        <w:ind w:left="720" w:right="1107"/>
        <w:rPr>
          <w:rFonts w:cs="DIN-Bold"/>
          <w:b/>
          <w:bCs/>
          <w:sz w:val="24"/>
          <w:szCs w:val="24"/>
        </w:rPr>
      </w:pPr>
      <w:r w:rsidRPr="005E493F">
        <w:rPr>
          <w:rFonts w:cs="DIN-Bold"/>
          <w:b/>
          <w:bCs/>
          <w:sz w:val="24"/>
          <w:szCs w:val="24"/>
        </w:rPr>
        <w:t>Recommended Areas of Application</w:t>
      </w:r>
    </w:p>
    <w:p w:rsidR="005E493F" w:rsidRPr="005E493F" w:rsidRDefault="005E493F" w:rsidP="005E493F">
      <w:pPr>
        <w:autoSpaceDE w:val="0"/>
        <w:autoSpaceDN w:val="0"/>
        <w:adjustRightInd w:val="0"/>
        <w:spacing w:after="0" w:line="240" w:lineRule="auto"/>
        <w:ind w:left="720" w:right="1107"/>
        <w:rPr>
          <w:rFonts w:cs="DIN-Regular"/>
        </w:rPr>
      </w:pPr>
      <w:r w:rsidRPr="005E493F">
        <w:rPr>
          <w:rFonts w:cs="DIN-Bold"/>
          <w:b/>
          <w:bCs/>
        </w:rPr>
        <w:t xml:space="preserve">Area of Use: </w:t>
      </w:r>
      <w:r w:rsidRPr="005E493F">
        <w:rPr>
          <w:rFonts w:cs="DIN-Regular"/>
        </w:rPr>
        <w:t>Interior and exterior</w:t>
      </w:r>
    </w:p>
    <w:p w:rsidR="005E493F" w:rsidRPr="005E493F" w:rsidRDefault="005E493F" w:rsidP="005E493F">
      <w:pPr>
        <w:autoSpaceDE w:val="0"/>
        <w:autoSpaceDN w:val="0"/>
        <w:adjustRightInd w:val="0"/>
        <w:spacing w:after="0" w:line="240" w:lineRule="auto"/>
        <w:ind w:left="720" w:right="1107"/>
        <w:rPr>
          <w:rFonts w:cs="DIN-Regular"/>
        </w:rPr>
      </w:pPr>
      <w:r w:rsidRPr="005E493F">
        <w:rPr>
          <w:rFonts w:cs="DIN-Bold"/>
          <w:b/>
          <w:bCs/>
        </w:rPr>
        <w:t xml:space="preserve">Substrate: </w:t>
      </w:r>
      <w:r w:rsidRPr="005E493F">
        <w:rPr>
          <w:rFonts w:cs="DIN-Regular"/>
        </w:rPr>
        <w:t>Concrete, Plaster, Masonry, Brickwork, Block work, Gypsum, Timber.</w:t>
      </w:r>
    </w:p>
    <w:p w:rsidR="005E493F" w:rsidRPr="005E493F" w:rsidRDefault="005E493F" w:rsidP="005E493F">
      <w:pPr>
        <w:autoSpaceDE w:val="0"/>
        <w:autoSpaceDN w:val="0"/>
        <w:adjustRightInd w:val="0"/>
        <w:spacing w:after="0" w:line="240" w:lineRule="auto"/>
        <w:ind w:left="720" w:right="1107"/>
        <w:rPr>
          <w:rFonts w:cs="DIN-Bold"/>
          <w:b/>
          <w:bCs/>
          <w:sz w:val="20"/>
          <w:szCs w:val="20"/>
        </w:rPr>
      </w:pPr>
    </w:p>
    <w:p w:rsidR="005E493F" w:rsidRPr="005E493F" w:rsidRDefault="005E493F" w:rsidP="005E493F">
      <w:pPr>
        <w:autoSpaceDE w:val="0"/>
        <w:autoSpaceDN w:val="0"/>
        <w:adjustRightInd w:val="0"/>
        <w:spacing w:after="0" w:line="240" w:lineRule="auto"/>
        <w:ind w:left="720" w:right="1107"/>
        <w:rPr>
          <w:rFonts w:cs="DIN-Bold"/>
          <w:b/>
          <w:bCs/>
          <w:sz w:val="24"/>
          <w:szCs w:val="24"/>
        </w:rPr>
      </w:pPr>
      <w:r w:rsidRPr="005E493F">
        <w:rPr>
          <w:rFonts w:cs="DIN-Bold"/>
          <w:b/>
          <w:bCs/>
          <w:sz w:val="24"/>
          <w:szCs w:val="24"/>
        </w:rPr>
        <w:t>Technical Data</w:t>
      </w:r>
    </w:p>
    <w:p w:rsidR="005E493F" w:rsidRPr="005E493F" w:rsidRDefault="005E493F" w:rsidP="005E493F">
      <w:pPr>
        <w:autoSpaceDE w:val="0"/>
        <w:autoSpaceDN w:val="0"/>
        <w:adjustRightInd w:val="0"/>
        <w:spacing w:after="0" w:line="240" w:lineRule="auto"/>
        <w:ind w:left="720" w:right="1107"/>
        <w:rPr>
          <w:rFonts w:cs="DIN-Regular"/>
        </w:rPr>
      </w:pPr>
      <w:r w:rsidRPr="005E493F">
        <w:rPr>
          <w:rFonts w:cs="DIN-Bold"/>
          <w:b/>
          <w:bCs/>
        </w:rPr>
        <w:t xml:space="preserve">Sheen Variants: </w:t>
      </w:r>
      <w:r w:rsidRPr="005E493F">
        <w:rPr>
          <w:rFonts w:cs="DIN-Regular"/>
        </w:rPr>
        <w:t>Matt, Heavy texture without marble chips</w:t>
      </w:r>
    </w:p>
    <w:p w:rsidR="005E493F" w:rsidRPr="005E493F" w:rsidRDefault="005E493F" w:rsidP="005E493F">
      <w:pPr>
        <w:autoSpaceDE w:val="0"/>
        <w:autoSpaceDN w:val="0"/>
        <w:adjustRightInd w:val="0"/>
        <w:spacing w:after="0" w:line="240" w:lineRule="auto"/>
        <w:ind w:left="720" w:right="1107"/>
        <w:rPr>
          <w:rFonts w:cs="DIN-Regular"/>
        </w:rPr>
      </w:pPr>
      <w:proofErr w:type="spellStart"/>
      <w:r w:rsidRPr="005E493F">
        <w:rPr>
          <w:rFonts w:cs="DIN-Bold"/>
          <w:b/>
          <w:bCs/>
        </w:rPr>
        <w:t>Colours</w:t>
      </w:r>
      <w:proofErr w:type="spellEnd"/>
      <w:r w:rsidRPr="005E493F">
        <w:rPr>
          <w:rFonts w:cs="DIN-Bold"/>
          <w:b/>
          <w:bCs/>
        </w:rPr>
        <w:t xml:space="preserve">: </w:t>
      </w:r>
      <w:r w:rsidRPr="005E493F">
        <w:rPr>
          <w:rFonts w:cs="DIN-Regular"/>
        </w:rPr>
        <w:t>As per shade card</w:t>
      </w:r>
    </w:p>
    <w:p w:rsidR="005E493F" w:rsidRDefault="005E493F" w:rsidP="005E493F">
      <w:pPr>
        <w:spacing w:after="0" w:line="240" w:lineRule="auto"/>
        <w:ind w:left="720" w:right="1107"/>
        <w:rPr>
          <w:rFonts w:cs="DIN-Regular"/>
        </w:rPr>
      </w:pPr>
      <w:r w:rsidRPr="005E493F">
        <w:rPr>
          <w:rFonts w:cs="DIN-Bold"/>
          <w:b/>
          <w:bCs/>
        </w:rPr>
        <w:t xml:space="preserve">Volume Solids: </w:t>
      </w:r>
      <w:r w:rsidRPr="005E493F">
        <w:rPr>
          <w:rFonts w:cs="DIN-Regular"/>
        </w:rPr>
        <w:t>68 ± 2%</w:t>
      </w:r>
    </w:p>
    <w:p w:rsidR="005E493F" w:rsidRDefault="005E493F" w:rsidP="005E493F">
      <w:pPr>
        <w:spacing w:after="0" w:line="240" w:lineRule="auto"/>
        <w:ind w:left="720" w:right="1107"/>
      </w:pPr>
    </w:p>
    <w:tbl>
      <w:tblPr>
        <w:tblStyle w:val="TableGrid"/>
        <w:tblW w:w="0" w:type="auto"/>
        <w:jc w:val="center"/>
        <w:tblInd w:w="720" w:type="dxa"/>
        <w:tblLook w:val="04A0"/>
      </w:tblPr>
      <w:tblGrid>
        <w:gridCol w:w="10031"/>
      </w:tblGrid>
      <w:tr w:rsidR="005E493F" w:rsidTr="005E493F">
        <w:trPr>
          <w:jc w:val="center"/>
        </w:trPr>
        <w:tc>
          <w:tcPr>
            <w:tcW w:w="10031" w:type="dxa"/>
          </w:tcPr>
          <w:p w:rsidR="005E493F" w:rsidRPr="005E493F" w:rsidRDefault="005E493F" w:rsidP="005E493F">
            <w:pPr>
              <w:autoSpaceDE w:val="0"/>
              <w:autoSpaceDN w:val="0"/>
              <w:adjustRightInd w:val="0"/>
              <w:rPr>
                <w:rFonts w:cs="DIN-Bold"/>
                <w:b/>
                <w:bCs/>
                <w:sz w:val="24"/>
                <w:szCs w:val="24"/>
              </w:rPr>
            </w:pPr>
            <w:r w:rsidRPr="005E493F">
              <w:rPr>
                <w:rFonts w:cs="DIN-Bold"/>
                <w:b/>
                <w:bCs/>
                <w:sz w:val="24"/>
                <w:szCs w:val="24"/>
              </w:rPr>
              <w:t>Theoretical Covering Capacity</w:t>
            </w:r>
          </w:p>
        </w:tc>
      </w:tr>
      <w:tr w:rsidR="005E493F" w:rsidTr="005E493F">
        <w:trPr>
          <w:jc w:val="center"/>
        </w:trPr>
        <w:tc>
          <w:tcPr>
            <w:tcW w:w="10031" w:type="dxa"/>
          </w:tcPr>
          <w:p w:rsidR="005E493F" w:rsidRPr="005E493F" w:rsidRDefault="005E493F" w:rsidP="005E493F">
            <w:pPr>
              <w:autoSpaceDE w:val="0"/>
              <w:autoSpaceDN w:val="0"/>
              <w:adjustRightInd w:val="0"/>
              <w:rPr>
                <w:rFonts w:cs="DIN-Regular"/>
              </w:rPr>
            </w:pPr>
            <w:r w:rsidRPr="005E493F">
              <w:rPr>
                <w:rFonts w:cs="DIN-Regular"/>
              </w:rPr>
              <w:t>Recommended Dry Film Thickness per coat</w:t>
            </w:r>
          </w:p>
        </w:tc>
      </w:tr>
      <w:tr w:rsidR="005E493F" w:rsidTr="005E493F">
        <w:trPr>
          <w:jc w:val="center"/>
        </w:trPr>
        <w:tc>
          <w:tcPr>
            <w:tcW w:w="10031" w:type="dxa"/>
          </w:tcPr>
          <w:p w:rsidR="005E493F" w:rsidRPr="005E493F" w:rsidRDefault="005E493F" w:rsidP="005E493F">
            <w:pPr>
              <w:autoSpaceDE w:val="0"/>
              <w:autoSpaceDN w:val="0"/>
              <w:adjustRightInd w:val="0"/>
            </w:pPr>
            <w:r w:rsidRPr="005E493F">
              <w:rPr>
                <w:rFonts w:cs="DIN-Regular"/>
              </w:rPr>
              <w:t>1.5 – 2m</w:t>
            </w:r>
            <w:r w:rsidRPr="005E493F">
              <w:rPr>
                <w:rFonts w:cs="DIN-Regular"/>
                <w:vertAlign w:val="superscript"/>
              </w:rPr>
              <w:t>2</w:t>
            </w:r>
            <w:r w:rsidRPr="005E493F">
              <w:rPr>
                <w:rFonts w:cs="DIN-Regular"/>
              </w:rPr>
              <w:t>/</w:t>
            </w:r>
            <w:proofErr w:type="spellStart"/>
            <w:r w:rsidRPr="005E493F">
              <w:rPr>
                <w:rFonts w:cs="DIN-Regular"/>
              </w:rPr>
              <w:t>ltr</w:t>
            </w:r>
            <w:proofErr w:type="spellEnd"/>
            <w:r w:rsidRPr="005E493F">
              <w:rPr>
                <w:rFonts w:cs="DIN-Regular"/>
              </w:rPr>
              <w:t xml:space="preserve">. Depending on surface </w:t>
            </w:r>
            <w:proofErr w:type="spellStart"/>
            <w:r w:rsidRPr="005E493F">
              <w:rPr>
                <w:rFonts w:cs="DIN-Regular"/>
              </w:rPr>
              <w:t>prole</w:t>
            </w:r>
            <w:proofErr w:type="spellEnd"/>
            <w:r w:rsidRPr="005E493F">
              <w:rPr>
                <w:rFonts w:cs="DIN-Regular"/>
              </w:rPr>
              <w:t>, uneven application, type of texture pattern, losses in containers and equipment</w:t>
            </w:r>
          </w:p>
        </w:tc>
      </w:tr>
    </w:tbl>
    <w:p w:rsidR="005E493F" w:rsidRDefault="005E493F" w:rsidP="005E493F">
      <w:pPr>
        <w:spacing w:after="0" w:line="240" w:lineRule="auto"/>
        <w:ind w:left="720" w:right="1107"/>
      </w:pPr>
    </w:p>
    <w:tbl>
      <w:tblPr>
        <w:tblStyle w:val="TableGrid"/>
        <w:tblW w:w="0" w:type="auto"/>
        <w:jc w:val="center"/>
        <w:tblInd w:w="1571" w:type="dxa"/>
        <w:tblLook w:val="04A0"/>
      </w:tblPr>
      <w:tblGrid>
        <w:gridCol w:w="9445"/>
      </w:tblGrid>
      <w:tr w:rsidR="005E493F" w:rsidTr="005E493F">
        <w:trPr>
          <w:jc w:val="center"/>
        </w:trPr>
        <w:tc>
          <w:tcPr>
            <w:tcW w:w="9965" w:type="dxa"/>
          </w:tcPr>
          <w:p w:rsidR="005E493F" w:rsidRPr="005E493F" w:rsidRDefault="005E493F" w:rsidP="005E493F">
            <w:pPr>
              <w:autoSpaceDE w:val="0"/>
              <w:autoSpaceDN w:val="0"/>
              <w:adjustRightInd w:val="0"/>
              <w:rPr>
                <w:rFonts w:cs="DIN-Bold"/>
                <w:b/>
                <w:bCs/>
                <w:sz w:val="24"/>
                <w:szCs w:val="24"/>
              </w:rPr>
            </w:pPr>
            <w:r w:rsidRPr="005E493F">
              <w:rPr>
                <w:rFonts w:cs="DIN-Bold"/>
                <w:b/>
                <w:bCs/>
                <w:sz w:val="24"/>
                <w:szCs w:val="24"/>
              </w:rPr>
              <w:t>Practical Covering Capacity</w:t>
            </w:r>
          </w:p>
        </w:tc>
      </w:tr>
      <w:tr w:rsidR="005E493F" w:rsidTr="005E493F">
        <w:trPr>
          <w:jc w:val="center"/>
        </w:trPr>
        <w:tc>
          <w:tcPr>
            <w:tcW w:w="9965" w:type="dxa"/>
          </w:tcPr>
          <w:p w:rsidR="005E493F" w:rsidRPr="005E493F" w:rsidRDefault="005E493F" w:rsidP="005E493F">
            <w:pPr>
              <w:autoSpaceDE w:val="0"/>
              <w:autoSpaceDN w:val="0"/>
              <w:adjustRightInd w:val="0"/>
            </w:pPr>
            <w:r w:rsidRPr="005E493F">
              <w:rPr>
                <w:rFonts w:cs="DIN-Regular"/>
              </w:rPr>
              <w:t>For estimation of practical covering capacity, following factors to be taken into account: surface profile, uneven application, over spray, losses in container and equipment etc.</w:t>
            </w:r>
          </w:p>
        </w:tc>
      </w:tr>
    </w:tbl>
    <w:p w:rsidR="005E493F" w:rsidRDefault="005E493F" w:rsidP="005E493F">
      <w:pPr>
        <w:spacing w:after="0" w:line="240" w:lineRule="auto"/>
        <w:ind w:left="720" w:right="1107"/>
      </w:pPr>
    </w:p>
    <w:p w:rsidR="005E493F" w:rsidRDefault="005E493F" w:rsidP="005E493F">
      <w:pPr>
        <w:spacing w:after="0" w:line="240" w:lineRule="auto"/>
        <w:ind w:left="720" w:right="1107"/>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460"/>
        <w:gridCol w:w="1842"/>
        <w:gridCol w:w="1285"/>
        <w:gridCol w:w="1842"/>
        <w:gridCol w:w="1418"/>
      </w:tblGrid>
      <w:tr w:rsidR="005E493F" w:rsidRPr="00CE75C5" w:rsidTr="00143A1A">
        <w:trPr>
          <w:trHeight w:hRule="exact" w:val="302"/>
          <w:jc w:val="center"/>
        </w:trPr>
        <w:tc>
          <w:tcPr>
            <w:tcW w:w="1460" w:type="dxa"/>
            <w:vMerge w:val="restart"/>
            <w:shd w:val="clear" w:color="auto" w:fill="auto"/>
          </w:tcPr>
          <w:p w:rsidR="005E493F" w:rsidRPr="00CE75C5" w:rsidRDefault="005E493F" w:rsidP="00143A1A">
            <w:pPr>
              <w:spacing w:before="2" w:after="0" w:line="170" w:lineRule="exact"/>
            </w:pPr>
          </w:p>
          <w:p w:rsidR="005E493F" w:rsidRPr="00CE75C5" w:rsidRDefault="005E493F" w:rsidP="00143A1A">
            <w:pPr>
              <w:spacing w:after="0" w:line="200" w:lineRule="exact"/>
            </w:pPr>
          </w:p>
          <w:p w:rsidR="005E493F" w:rsidRPr="00CE75C5" w:rsidRDefault="005E493F" w:rsidP="00143A1A">
            <w:pPr>
              <w:spacing w:after="0" w:line="200" w:lineRule="exact"/>
            </w:pPr>
          </w:p>
          <w:p w:rsidR="005E493F" w:rsidRPr="00CE75C5" w:rsidRDefault="005E493F" w:rsidP="00143A1A">
            <w:pPr>
              <w:spacing w:after="0" w:line="240" w:lineRule="auto"/>
              <w:ind w:left="73" w:right="-20"/>
              <w:rPr>
                <w:rFonts w:eastAsia="DIN" w:cs="DIN"/>
              </w:rPr>
            </w:pPr>
            <w:r w:rsidRPr="00CE75C5">
              <w:rPr>
                <w:rFonts w:eastAsia="DIN" w:cs="DIN"/>
                <w:b/>
                <w:bCs/>
                <w:color w:val="231F20"/>
              </w:rPr>
              <w:t>Drying time</w:t>
            </w:r>
          </w:p>
        </w:tc>
        <w:tc>
          <w:tcPr>
            <w:tcW w:w="1842" w:type="dxa"/>
            <w:vMerge w:val="restart"/>
            <w:shd w:val="clear" w:color="auto" w:fill="auto"/>
          </w:tcPr>
          <w:p w:rsidR="005E493F" w:rsidRPr="00CE75C5" w:rsidRDefault="005E493F" w:rsidP="00143A1A">
            <w:pPr>
              <w:spacing w:before="12" w:after="0" w:line="240" w:lineRule="auto"/>
              <w:ind w:left="72" w:right="-20"/>
              <w:rPr>
                <w:rFonts w:eastAsia="DIN" w:cs="DIN"/>
              </w:rPr>
            </w:pPr>
            <w:r w:rsidRPr="00CE75C5">
              <w:rPr>
                <w:rFonts w:eastAsia="DIN" w:cs="DIN"/>
                <w:b/>
                <w:bCs/>
                <w:color w:val="231F20"/>
              </w:rPr>
              <w:t>Sub</w:t>
            </w:r>
            <w:r w:rsidRPr="00CE75C5">
              <w:rPr>
                <w:rFonts w:eastAsia="DIN" w:cs="DIN"/>
                <w:b/>
                <w:bCs/>
                <w:color w:val="231F20"/>
                <w:spacing w:val="-2"/>
              </w:rPr>
              <w:t>s</w:t>
            </w:r>
            <w:r w:rsidRPr="00CE75C5">
              <w:rPr>
                <w:rFonts w:eastAsia="DIN" w:cs="DIN"/>
                <w:b/>
                <w:bCs/>
                <w:color w:val="231F20"/>
              </w:rPr>
              <w:t>t</w:t>
            </w:r>
            <w:r w:rsidRPr="00CE75C5">
              <w:rPr>
                <w:rFonts w:eastAsia="DIN" w:cs="DIN"/>
                <w:b/>
                <w:bCs/>
                <w:color w:val="231F20"/>
                <w:spacing w:val="-2"/>
              </w:rPr>
              <w:t>r</w:t>
            </w:r>
            <w:r w:rsidRPr="00CE75C5">
              <w:rPr>
                <w:rFonts w:eastAsia="DIN" w:cs="DIN"/>
                <w:b/>
                <w:bCs/>
                <w:color w:val="231F20"/>
              </w:rPr>
              <w:t>a</w:t>
            </w:r>
            <w:r w:rsidRPr="00CE75C5">
              <w:rPr>
                <w:rFonts w:eastAsia="DIN" w:cs="DIN"/>
                <w:b/>
                <w:bCs/>
                <w:color w:val="231F20"/>
                <w:spacing w:val="-1"/>
              </w:rPr>
              <w:t>t</w:t>
            </w:r>
            <w:r w:rsidRPr="00CE75C5">
              <w:rPr>
                <w:rFonts w:eastAsia="DIN" w:cs="DIN"/>
                <w:b/>
                <w:bCs/>
                <w:color w:val="231F20"/>
              </w:rPr>
              <w:t xml:space="preserve">e </w:t>
            </w:r>
            <w:r w:rsidRPr="00CE75C5">
              <w:rPr>
                <w:rFonts w:eastAsia="DIN" w:cs="DIN"/>
                <w:b/>
                <w:bCs/>
                <w:color w:val="231F20"/>
                <w:spacing w:val="-13"/>
              </w:rPr>
              <w:t>T</w:t>
            </w:r>
            <w:r w:rsidRPr="00CE75C5">
              <w:rPr>
                <w:rFonts w:eastAsia="DIN" w:cs="DIN"/>
                <w:b/>
                <w:bCs/>
                <w:color w:val="231F20"/>
              </w:rPr>
              <w:t>emp.</w:t>
            </w:r>
          </w:p>
        </w:tc>
        <w:tc>
          <w:tcPr>
            <w:tcW w:w="1285" w:type="dxa"/>
            <w:vMerge w:val="restart"/>
            <w:shd w:val="clear" w:color="auto" w:fill="auto"/>
          </w:tcPr>
          <w:p w:rsidR="005E493F" w:rsidRPr="00CE75C5" w:rsidRDefault="005E493F" w:rsidP="00143A1A">
            <w:pPr>
              <w:spacing w:before="12" w:after="0" w:line="240" w:lineRule="auto"/>
              <w:ind w:left="72" w:right="-20"/>
              <w:rPr>
                <w:rFonts w:eastAsia="DIN" w:cs="DIN"/>
              </w:rPr>
            </w:pPr>
            <w:r w:rsidRPr="00CE75C5">
              <w:rPr>
                <w:rFonts w:eastAsia="DIN" w:cs="DIN"/>
                <w:b/>
                <w:bCs/>
                <w:color w:val="231F20"/>
                <w:spacing w:val="-13"/>
              </w:rPr>
              <w:t>T</w:t>
            </w:r>
            <w:r w:rsidRPr="00CE75C5">
              <w:rPr>
                <w:rFonts w:eastAsia="DIN" w:cs="DIN"/>
                <w:b/>
                <w:bCs/>
                <w:color w:val="231F20"/>
              </w:rPr>
              <w:t>ouch Dry</w:t>
            </w:r>
          </w:p>
        </w:tc>
        <w:tc>
          <w:tcPr>
            <w:tcW w:w="3260" w:type="dxa"/>
            <w:gridSpan w:val="2"/>
            <w:shd w:val="clear" w:color="auto" w:fill="auto"/>
          </w:tcPr>
          <w:p w:rsidR="005E493F" w:rsidRPr="00CE75C5" w:rsidRDefault="005E493F" w:rsidP="00143A1A">
            <w:pPr>
              <w:spacing w:before="12" w:after="0" w:line="240" w:lineRule="auto"/>
              <w:ind w:right="-20"/>
              <w:rPr>
                <w:rFonts w:eastAsia="DIN" w:cs="DIN"/>
              </w:rPr>
            </w:pPr>
            <w:r w:rsidRPr="00CE75C5">
              <w:rPr>
                <w:rFonts w:eastAsia="DIN" w:cs="DIN"/>
                <w:b/>
                <w:bCs/>
                <w:color w:val="231F20"/>
              </w:rPr>
              <w:t>O</w:t>
            </w:r>
            <w:r w:rsidRPr="00CE75C5">
              <w:rPr>
                <w:rFonts w:eastAsia="DIN" w:cs="DIN"/>
                <w:b/>
                <w:bCs/>
                <w:color w:val="231F20"/>
                <w:spacing w:val="-2"/>
              </w:rPr>
              <w:t>v</w:t>
            </w:r>
            <w:r w:rsidRPr="00CE75C5">
              <w:rPr>
                <w:rFonts w:eastAsia="DIN" w:cs="DIN"/>
                <w:b/>
                <w:bCs/>
                <w:color w:val="231F20"/>
              </w:rPr>
              <w:t>e</w:t>
            </w:r>
            <w:r w:rsidRPr="00CE75C5">
              <w:rPr>
                <w:rFonts w:eastAsia="DIN" w:cs="DIN"/>
                <w:b/>
                <w:bCs/>
                <w:color w:val="231F20"/>
                <w:spacing w:val="-6"/>
              </w:rPr>
              <w:t>r</w:t>
            </w:r>
            <w:r>
              <w:rPr>
                <w:rFonts w:eastAsia="DIN" w:cs="DIN"/>
                <w:b/>
                <w:bCs/>
                <w:color w:val="231F20"/>
                <w:spacing w:val="-6"/>
              </w:rPr>
              <w:t xml:space="preserve"> </w:t>
            </w:r>
            <w:r w:rsidRPr="00CE75C5">
              <w:rPr>
                <w:rFonts w:eastAsia="DIN" w:cs="DIN"/>
                <w:b/>
                <w:bCs/>
                <w:color w:val="231F20"/>
                <w:spacing w:val="-4"/>
              </w:rPr>
              <w:t>c</w:t>
            </w:r>
            <w:r w:rsidRPr="00CE75C5">
              <w:rPr>
                <w:rFonts w:eastAsia="DIN" w:cs="DIN"/>
                <w:b/>
                <w:bCs/>
                <w:color w:val="231F20"/>
              </w:rPr>
              <w:t>oating In</w:t>
            </w:r>
            <w:r w:rsidRPr="00CE75C5">
              <w:rPr>
                <w:rFonts w:eastAsia="DIN" w:cs="DIN"/>
                <w:b/>
                <w:bCs/>
                <w:color w:val="231F20"/>
                <w:spacing w:val="-1"/>
              </w:rPr>
              <w:t>t</w:t>
            </w:r>
            <w:r w:rsidRPr="00CE75C5">
              <w:rPr>
                <w:rFonts w:eastAsia="DIN" w:cs="DIN"/>
                <w:b/>
                <w:bCs/>
                <w:color w:val="231F20"/>
              </w:rPr>
              <w:t>er</w:t>
            </w:r>
            <w:r w:rsidRPr="00CE75C5">
              <w:rPr>
                <w:rFonts w:eastAsia="DIN" w:cs="DIN"/>
                <w:b/>
                <w:bCs/>
                <w:color w:val="231F20"/>
                <w:spacing w:val="-2"/>
              </w:rPr>
              <w:t>v</w:t>
            </w:r>
            <w:r w:rsidRPr="00CE75C5">
              <w:rPr>
                <w:rFonts w:eastAsia="DIN" w:cs="DIN"/>
                <w:b/>
                <w:bCs/>
                <w:color w:val="231F20"/>
              </w:rPr>
              <w:t>al</w:t>
            </w:r>
          </w:p>
        </w:tc>
      </w:tr>
      <w:tr w:rsidR="005E493F" w:rsidRPr="00CE75C5" w:rsidTr="00143A1A">
        <w:trPr>
          <w:trHeight w:hRule="exact" w:val="302"/>
          <w:jc w:val="center"/>
        </w:trPr>
        <w:tc>
          <w:tcPr>
            <w:tcW w:w="1460" w:type="dxa"/>
            <w:vMerge/>
            <w:shd w:val="clear" w:color="auto" w:fill="auto"/>
          </w:tcPr>
          <w:p w:rsidR="005E493F" w:rsidRPr="00CE75C5" w:rsidRDefault="005E493F" w:rsidP="00143A1A"/>
        </w:tc>
        <w:tc>
          <w:tcPr>
            <w:tcW w:w="1842" w:type="dxa"/>
            <w:vMerge/>
            <w:shd w:val="clear" w:color="auto" w:fill="auto"/>
          </w:tcPr>
          <w:p w:rsidR="005E493F" w:rsidRPr="00CE75C5" w:rsidRDefault="005E493F" w:rsidP="00143A1A"/>
        </w:tc>
        <w:tc>
          <w:tcPr>
            <w:tcW w:w="1285" w:type="dxa"/>
            <w:vMerge/>
            <w:shd w:val="clear" w:color="auto" w:fill="auto"/>
          </w:tcPr>
          <w:p w:rsidR="005E493F" w:rsidRPr="00CE75C5" w:rsidRDefault="005E493F" w:rsidP="00143A1A"/>
        </w:tc>
        <w:tc>
          <w:tcPr>
            <w:tcW w:w="1842" w:type="dxa"/>
            <w:shd w:val="clear" w:color="auto" w:fill="auto"/>
          </w:tcPr>
          <w:p w:rsidR="005E493F" w:rsidRPr="00CE75C5" w:rsidRDefault="005E493F" w:rsidP="00143A1A">
            <w:pPr>
              <w:spacing w:before="12" w:after="0" w:line="240" w:lineRule="auto"/>
              <w:ind w:left="72" w:right="-20"/>
              <w:rPr>
                <w:rFonts w:eastAsia="DIN" w:cs="DIN"/>
              </w:rPr>
            </w:pPr>
            <w:r w:rsidRPr="00CE75C5">
              <w:rPr>
                <w:rFonts w:eastAsia="DIN" w:cs="DIN"/>
                <w:b/>
                <w:bCs/>
                <w:color w:val="231F20"/>
              </w:rPr>
              <w:t>Minimum</w:t>
            </w:r>
          </w:p>
        </w:tc>
        <w:tc>
          <w:tcPr>
            <w:tcW w:w="1418" w:type="dxa"/>
            <w:shd w:val="clear" w:color="auto" w:fill="auto"/>
          </w:tcPr>
          <w:p w:rsidR="005E493F" w:rsidRPr="00CE75C5" w:rsidRDefault="005E493F" w:rsidP="00143A1A">
            <w:pPr>
              <w:spacing w:before="12" w:after="0" w:line="240" w:lineRule="auto"/>
              <w:ind w:left="72" w:right="-20"/>
              <w:rPr>
                <w:rFonts w:eastAsia="DIN" w:cs="DIN"/>
              </w:rPr>
            </w:pPr>
            <w:r w:rsidRPr="00CE75C5">
              <w:rPr>
                <w:rFonts w:eastAsia="DIN" w:cs="DIN"/>
                <w:b/>
                <w:bCs/>
                <w:color w:val="231F20"/>
              </w:rPr>
              <w:t>Maximum</w:t>
            </w:r>
          </w:p>
        </w:tc>
      </w:tr>
      <w:tr w:rsidR="005E493F" w:rsidRPr="00CE75C5" w:rsidTr="00143A1A">
        <w:trPr>
          <w:trHeight w:hRule="exact" w:val="357"/>
          <w:jc w:val="center"/>
        </w:trPr>
        <w:tc>
          <w:tcPr>
            <w:tcW w:w="1460" w:type="dxa"/>
            <w:vMerge/>
            <w:shd w:val="clear" w:color="auto" w:fill="auto"/>
          </w:tcPr>
          <w:p w:rsidR="005E493F" w:rsidRPr="00CE75C5" w:rsidRDefault="005E493F" w:rsidP="00143A1A"/>
        </w:tc>
        <w:tc>
          <w:tcPr>
            <w:tcW w:w="1842"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sidRPr="00CE75C5">
              <w:rPr>
                <w:rFonts w:eastAsia="DIN-RegularAlternate" w:cs="DIN-RegularAlternate"/>
                <w:color w:val="231F20"/>
                <w:w w:val="103"/>
              </w:rPr>
              <w:t>25°C</w:t>
            </w:r>
          </w:p>
        </w:tc>
        <w:tc>
          <w:tcPr>
            <w:tcW w:w="1285"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Pr>
                <w:rFonts w:eastAsia="DIN-RegularAlternate" w:cs="DIN-RegularAlternate"/>
                <w:color w:val="231F20"/>
              </w:rPr>
              <w:t>7</w:t>
            </w:r>
            <w:r w:rsidRPr="00110818">
              <w:rPr>
                <w:rFonts w:eastAsia="DIN-RegularAlternate" w:cs="DIN-RegularAlternate"/>
                <w:color w:val="231F20"/>
              </w:rPr>
              <w:t xml:space="preserve"> hours</w:t>
            </w:r>
          </w:p>
        </w:tc>
        <w:tc>
          <w:tcPr>
            <w:tcW w:w="1842" w:type="dxa"/>
            <w:shd w:val="clear" w:color="auto" w:fill="auto"/>
          </w:tcPr>
          <w:p w:rsidR="005E493F" w:rsidRPr="00CE75C5" w:rsidRDefault="005E493F" w:rsidP="005E493F">
            <w:pPr>
              <w:spacing w:before="72" w:after="0" w:line="240" w:lineRule="auto"/>
              <w:ind w:left="72" w:right="-20"/>
              <w:rPr>
                <w:rFonts w:eastAsia="DIN-RegularAlternate" w:cs="DIN-RegularAlternate"/>
              </w:rPr>
            </w:pPr>
            <w:r>
              <w:rPr>
                <w:rFonts w:eastAsia="DIN-RegularAlternate" w:cs="DIN-RegularAlternate"/>
                <w:color w:val="231F20"/>
              </w:rPr>
              <w:t>16</w:t>
            </w:r>
            <w:r w:rsidRPr="00110818">
              <w:rPr>
                <w:rFonts w:eastAsia="DIN-RegularAlternate" w:cs="DIN-RegularAlternate"/>
                <w:color w:val="231F20"/>
              </w:rPr>
              <w:t xml:space="preserve"> hours</w:t>
            </w:r>
          </w:p>
        </w:tc>
        <w:tc>
          <w:tcPr>
            <w:tcW w:w="1418"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sidRPr="00CE75C5">
              <w:rPr>
                <w:rFonts w:eastAsia="DIN-RegularAlternate" w:cs="DIN-RegularAlternate"/>
                <w:color w:val="231F20"/>
              </w:rPr>
              <w:t>Indefini</w:t>
            </w:r>
            <w:r w:rsidRPr="00CE75C5">
              <w:rPr>
                <w:rFonts w:eastAsia="DIN-RegularAlternate" w:cs="DIN-RegularAlternate"/>
                <w:color w:val="231F20"/>
                <w:spacing w:val="-2"/>
              </w:rPr>
              <w:t>t</w:t>
            </w:r>
            <w:r w:rsidRPr="00CE75C5">
              <w:rPr>
                <w:rFonts w:eastAsia="DIN-RegularAlternate" w:cs="DIN-RegularAlternate"/>
                <w:color w:val="231F20"/>
              </w:rPr>
              <w:t>e</w:t>
            </w:r>
          </w:p>
        </w:tc>
      </w:tr>
      <w:tr w:rsidR="005E493F" w:rsidRPr="00CE75C5" w:rsidTr="00143A1A">
        <w:trPr>
          <w:trHeight w:hRule="exact" w:val="357"/>
          <w:jc w:val="center"/>
        </w:trPr>
        <w:tc>
          <w:tcPr>
            <w:tcW w:w="1460" w:type="dxa"/>
            <w:vMerge/>
            <w:shd w:val="clear" w:color="auto" w:fill="auto"/>
          </w:tcPr>
          <w:p w:rsidR="005E493F" w:rsidRPr="00CE75C5" w:rsidRDefault="005E493F" w:rsidP="00143A1A"/>
        </w:tc>
        <w:tc>
          <w:tcPr>
            <w:tcW w:w="1842"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sidRPr="00CE75C5">
              <w:rPr>
                <w:rFonts w:eastAsia="DIN-RegularAlternate" w:cs="DIN-RegularAlternate"/>
                <w:color w:val="231F20"/>
                <w:w w:val="102"/>
              </w:rPr>
              <w:t>35°C</w:t>
            </w:r>
          </w:p>
        </w:tc>
        <w:tc>
          <w:tcPr>
            <w:tcW w:w="1285"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Pr>
                <w:rFonts w:eastAsia="DIN-RegularAlternate" w:cs="DIN-RegularAlternate"/>
                <w:color w:val="231F20"/>
              </w:rPr>
              <w:t>6</w:t>
            </w:r>
            <w:r w:rsidRPr="00110818">
              <w:rPr>
                <w:rFonts w:eastAsia="DIN-RegularAlternate" w:cs="DIN-RegularAlternate"/>
                <w:color w:val="231F20"/>
              </w:rPr>
              <w:t xml:space="preserve"> hour</w:t>
            </w:r>
          </w:p>
        </w:tc>
        <w:tc>
          <w:tcPr>
            <w:tcW w:w="1842"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Pr>
                <w:rFonts w:eastAsia="DIN-RegularAlternate" w:cs="DIN-RegularAlternate"/>
                <w:color w:val="231F20"/>
              </w:rPr>
              <w:t>12</w:t>
            </w:r>
            <w:r w:rsidRPr="00110818">
              <w:rPr>
                <w:rFonts w:eastAsia="DIN-RegularAlternate" w:cs="DIN-RegularAlternate"/>
                <w:color w:val="231F20"/>
              </w:rPr>
              <w:t xml:space="preserve"> hours</w:t>
            </w:r>
          </w:p>
        </w:tc>
        <w:tc>
          <w:tcPr>
            <w:tcW w:w="1418"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sidRPr="00CE75C5">
              <w:rPr>
                <w:rFonts w:eastAsia="DIN-RegularAlternate" w:cs="DIN-RegularAlternate"/>
                <w:color w:val="231F20"/>
              </w:rPr>
              <w:t>Indefini</w:t>
            </w:r>
            <w:r w:rsidRPr="00CE75C5">
              <w:rPr>
                <w:rFonts w:eastAsia="DIN-RegularAlternate" w:cs="DIN-RegularAlternate"/>
                <w:color w:val="231F20"/>
                <w:spacing w:val="-2"/>
              </w:rPr>
              <w:t>t</w:t>
            </w:r>
            <w:r w:rsidRPr="00CE75C5">
              <w:rPr>
                <w:rFonts w:eastAsia="DIN-RegularAlternate" w:cs="DIN-RegularAlternate"/>
                <w:color w:val="231F20"/>
              </w:rPr>
              <w:t>e</w:t>
            </w:r>
          </w:p>
        </w:tc>
      </w:tr>
      <w:tr w:rsidR="005E493F" w:rsidRPr="00CE75C5" w:rsidTr="00143A1A">
        <w:trPr>
          <w:trHeight w:hRule="exact" w:val="357"/>
          <w:jc w:val="center"/>
        </w:trPr>
        <w:tc>
          <w:tcPr>
            <w:tcW w:w="1460" w:type="dxa"/>
            <w:vMerge/>
            <w:shd w:val="clear" w:color="auto" w:fill="auto"/>
          </w:tcPr>
          <w:p w:rsidR="005E493F" w:rsidRPr="00CE75C5" w:rsidRDefault="005E493F" w:rsidP="00143A1A"/>
        </w:tc>
        <w:tc>
          <w:tcPr>
            <w:tcW w:w="1842"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sidRPr="00CE75C5">
              <w:rPr>
                <w:rFonts w:eastAsia="DIN-RegularAlternate" w:cs="DIN-RegularAlternate"/>
                <w:color w:val="231F20"/>
                <w:w w:val="101"/>
              </w:rPr>
              <w:t>45°C</w:t>
            </w:r>
          </w:p>
        </w:tc>
        <w:tc>
          <w:tcPr>
            <w:tcW w:w="1285"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Pr>
                <w:rFonts w:eastAsia="DIN-RegularAlternate" w:cs="DIN-RegularAlternate"/>
                <w:color w:val="231F20"/>
              </w:rPr>
              <w:t>4</w:t>
            </w:r>
            <w:r w:rsidRPr="00110818">
              <w:rPr>
                <w:rFonts w:eastAsia="DIN-RegularAlternate" w:cs="DIN-RegularAlternate"/>
                <w:color w:val="231F20"/>
              </w:rPr>
              <w:t xml:space="preserve"> Hour</w:t>
            </w:r>
          </w:p>
        </w:tc>
        <w:tc>
          <w:tcPr>
            <w:tcW w:w="1842"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Pr>
                <w:rFonts w:eastAsia="DIN-RegularAlternate" w:cs="DIN-RegularAlternate"/>
                <w:color w:val="231F20"/>
              </w:rPr>
              <w:t>10</w:t>
            </w:r>
            <w:r w:rsidRPr="00110818">
              <w:rPr>
                <w:rFonts w:eastAsia="DIN-RegularAlternate" w:cs="DIN-RegularAlternate"/>
                <w:color w:val="231F20"/>
              </w:rPr>
              <w:t xml:space="preserve"> hours</w:t>
            </w:r>
          </w:p>
        </w:tc>
        <w:tc>
          <w:tcPr>
            <w:tcW w:w="1418" w:type="dxa"/>
            <w:shd w:val="clear" w:color="auto" w:fill="auto"/>
          </w:tcPr>
          <w:p w:rsidR="005E493F" w:rsidRPr="00CE75C5" w:rsidRDefault="005E493F" w:rsidP="00143A1A">
            <w:pPr>
              <w:spacing w:before="72" w:after="0" w:line="240" w:lineRule="auto"/>
              <w:ind w:left="72" w:right="-20"/>
              <w:rPr>
                <w:rFonts w:eastAsia="DIN-RegularAlternate" w:cs="DIN-RegularAlternate"/>
              </w:rPr>
            </w:pPr>
            <w:r w:rsidRPr="00CE75C5">
              <w:rPr>
                <w:rFonts w:eastAsia="DIN-RegularAlternate" w:cs="DIN-RegularAlternate"/>
                <w:color w:val="231F20"/>
              </w:rPr>
              <w:t>Indefini</w:t>
            </w:r>
            <w:r w:rsidRPr="00CE75C5">
              <w:rPr>
                <w:rFonts w:eastAsia="DIN-RegularAlternate" w:cs="DIN-RegularAlternate"/>
                <w:color w:val="231F20"/>
                <w:spacing w:val="-2"/>
              </w:rPr>
              <w:t>t</w:t>
            </w:r>
            <w:r w:rsidRPr="00CE75C5">
              <w:rPr>
                <w:rFonts w:eastAsia="DIN-RegularAlternate" w:cs="DIN-RegularAlternate"/>
                <w:color w:val="231F20"/>
              </w:rPr>
              <w:t>e</w:t>
            </w:r>
          </w:p>
        </w:tc>
      </w:tr>
    </w:tbl>
    <w:p w:rsidR="005E493F" w:rsidRDefault="005E493F" w:rsidP="005E493F">
      <w:pPr>
        <w:spacing w:after="0" w:line="240" w:lineRule="auto"/>
        <w:ind w:left="720" w:right="1107"/>
      </w:pPr>
    </w:p>
    <w:p w:rsidR="005E493F" w:rsidRDefault="005E493F" w:rsidP="005E493F">
      <w:pPr>
        <w:autoSpaceDE w:val="0"/>
        <w:autoSpaceDN w:val="0"/>
        <w:adjustRightInd w:val="0"/>
        <w:spacing w:after="0" w:line="240" w:lineRule="auto"/>
        <w:ind w:left="720" w:right="1107"/>
        <w:rPr>
          <w:rFonts w:cs="DIN-Bold"/>
          <w:b/>
          <w:bCs/>
          <w:sz w:val="24"/>
          <w:szCs w:val="24"/>
        </w:rPr>
      </w:pPr>
    </w:p>
    <w:p w:rsidR="005E493F" w:rsidRPr="005E493F" w:rsidRDefault="005E493F" w:rsidP="005E493F">
      <w:pPr>
        <w:autoSpaceDE w:val="0"/>
        <w:autoSpaceDN w:val="0"/>
        <w:adjustRightInd w:val="0"/>
        <w:spacing w:after="0" w:line="240" w:lineRule="auto"/>
        <w:ind w:left="720" w:right="1107"/>
        <w:rPr>
          <w:rFonts w:cs="DIN-Bold"/>
          <w:b/>
          <w:bCs/>
          <w:sz w:val="24"/>
          <w:szCs w:val="24"/>
        </w:rPr>
      </w:pPr>
      <w:r w:rsidRPr="005E493F">
        <w:rPr>
          <w:rFonts w:cs="DIN-Bold"/>
          <w:b/>
          <w:bCs/>
          <w:sz w:val="24"/>
          <w:szCs w:val="24"/>
        </w:rPr>
        <w:t>Application Data</w:t>
      </w:r>
    </w:p>
    <w:p w:rsidR="005E493F" w:rsidRPr="005E493F" w:rsidRDefault="005E493F" w:rsidP="005E493F">
      <w:pPr>
        <w:autoSpaceDE w:val="0"/>
        <w:autoSpaceDN w:val="0"/>
        <w:adjustRightInd w:val="0"/>
        <w:spacing w:after="0" w:line="240" w:lineRule="auto"/>
        <w:ind w:left="720" w:right="1107"/>
        <w:rPr>
          <w:rFonts w:cs="DIN-Regular"/>
        </w:rPr>
      </w:pPr>
      <w:r w:rsidRPr="005E493F">
        <w:rPr>
          <w:rFonts w:cs="DIN-Bold"/>
          <w:b/>
          <w:bCs/>
        </w:rPr>
        <w:t>Method of Application</w:t>
      </w:r>
      <w:r w:rsidRPr="005E493F">
        <w:rPr>
          <w:rFonts w:cs="DIN-Bold"/>
          <w:b/>
          <w:bCs/>
        </w:rPr>
        <w:tab/>
      </w:r>
      <w:r w:rsidRPr="005E493F">
        <w:rPr>
          <w:rFonts w:cs="DIN-Bold"/>
          <w:b/>
          <w:bCs/>
        </w:rPr>
        <w:tab/>
        <w:t>:</w:t>
      </w:r>
      <w:r w:rsidRPr="005E493F">
        <w:rPr>
          <w:rFonts w:cs="DIN-Bold"/>
          <w:b/>
          <w:bCs/>
        </w:rPr>
        <w:tab/>
      </w:r>
      <w:r w:rsidRPr="005E493F">
        <w:rPr>
          <w:rFonts w:cs="DIN-Regular"/>
        </w:rPr>
        <w:t>Brush, Roller</w:t>
      </w:r>
    </w:p>
    <w:p w:rsidR="005E493F" w:rsidRPr="005E493F" w:rsidRDefault="005E493F" w:rsidP="005E493F">
      <w:pPr>
        <w:autoSpaceDE w:val="0"/>
        <w:autoSpaceDN w:val="0"/>
        <w:adjustRightInd w:val="0"/>
        <w:spacing w:after="0" w:line="240" w:lineRule="auto"/>
        <w:ind w:left="720" w:right="1107"/>
        <w:rPr>
          <w:rFonts w:cs="DIN-Regular"/>
        </w:rPr>
      </w:pPr>
      <w:r w:rsidRPr="005E493F">
        <w:rPr>
          <w:rFonts w:cs="DIN-Bold"/>
          <w:b/>
          <w:bCs/>
        </w:rPr>
        <w:t>Thinner</w:t>
      </w:r>
      <w:r w:rsidRPr="005E493F">
        <w:rPr>
          <w:rFonts w:cs="DIN-Bold"/>
          <w:b/>
          <w:bCs/>
        </w:rPr>
        <w:tab/>
      </w:r>
      <w:r w:rsidRPr="005E493F">
        <w:rPr>
          <w:rFonts w:cs="DIN-Bold"/>
          <w:b/>
          <w:bCs/>
        </w:rPr>
        <w:tab/>
      </w:r>
      <w:r w:rsidRPr="005E493F">
        <w:rPr>
          <w:rFonts w:cs="DIN-Bold"/>
          <w:b/>
          <w:bCs/>
        </w:rPr>
        <w:tab/>
      </w:r>
      <w:r>
        <w:rPr>
          <w:rFonts w:cs="DIN-Bold"/>
          <w:b/>
          <w:bCs/>
        </w:rPr>
        <w:tab/>
      </w:r>
      <w:r w:rsidRPr="005E493F">
        <w:rPr>
          <w:rFonts w:cs="DIN-Bold"/>
          <w:b/>
          <w:bCs/>
        </w:rPr>
        <w:t>:</w:t>
      </w:r>
      <w:r w:rsidRPr="005E493F">
        <w:rPr>
          <w:rFonts w:cs="DIN-Bold"/>
          <w:b/>
          <w:bCs/>
        </w:rPr>
        <w:tab/>
      </w:r>
      <w:r w:rsidRPr="005E493F">
        <w:rPr>
          <w:rFonts w:cs="DIN-Regular"/>
        </w:rPr>
        <w:t>Sweet water</w:t>
      </w:r>
    </w:p>
    <w:p w:rsidR="005E493F" w:rsidRPr="005E493F" w:rsidRDefault="005E493F" w:rsidP="005E493F">
      <w:pPr>
        <w:autoSpaceDE w:val="0"/>
        <w:autoSpaceDN w:val="0"/>
        <w:adjustRightInd w:val="0"/>
        <w:spacing w:after="0" w:line="240" w:lineRule="auto"/>
        <w:ind w:left="720" w:right="1107"/>
        <w:rPr>
          <w:rFonts w:cs="DIN-Regular"/>
        </w:rPr>
      </w:pPr>
      <w:proofErr w:type="gramStart"/>
      <w:r w:rsidRPr="005E493F">
        <w:rPr>
          <w:rFonts w:cs="DIN-Bold"/>
          <w:b/>
          <w:bCs/>
        </w:rPr>
        <w:t>Thinning Ratio (by vol.)</w:t>
      </w:r>
      <w:proofErr w:type="gramEnd"/>
      <w:r>
        <w:rPr>
          <w:rFonts w:cs="DIN-Bold"/>
          <w:b/>
          <w:bCs/>
        </w:rPr>
        <w:tab/>
      </w:r>
      <w:r w:rsidRPr="005E493F">
        <w:rPr>
          <w:rFonts w:cs="DIN-Bold"/>
          <w:b/>
          <w:bCs/>
        </w:rPr>
        <w:tab/>
        <w:t>:</w:t>
      </w:r>
      <w:r w:rsidRPr="005E493F">
        <w:rPr>
          <w:rFonts w:cs="DIN-Bold"/>
          <w:b/>
          <w:bCs/>
        </w:rPr>
        <w:tab/>
      </w:r>
      <w:r w:rsidRPr="005E493F">
        <w:rPr>
          <w:rFonts w:cs="DIN-Regular"/>
        </w:rPr>
        <w:t>Use 5% to 10% for ease of application. Dilution with sweet water will</w:t>
      </w:r>
    </w:p>
    <w:p w:rsidR="005E493F" w:rsidRDefault="005E493F" w:rsidP="005E493F">
      <w:pPr>
        <w:autoSpaceDE w:val="0"/>
        <w:autoSpaceDN w:val="0"/>
        <w:adjustRightInd w:val="0"/>
        <w:spacing w:after="0" w:line="240" w:lineRule="auto"/>
        <w:ind w:left="3600" w:right="1107" w:firstLine="720"/>
        <w:rPr>
          <w:rFonts w:cs="DIN-Regular"/>
        </w:rPr>
      </w:pPr>
      <w:proofErr w:type="gramStart"/>
      <w:r w:rsidRPr="005E493F">
        <w:rPr>
          <w:rFonts w:cs="DIN-Regular"/>
        </w:rPr>
        <w:t>make</w:t>
      </w:r>
      <w:proofErr w:type="gramEnd"/>
      <w:r w:rsidRPr="005E493F">
        <w:rPr>
          <w:rFonts w:cs="DIN-Regular"/>
        </w:rPr>
        <w:t xml:space="preserve"> the textures smaller. Do not over dilute</w:t>
      </w:r>
    </w:p>
    <w:p w:rsidR="005E493F" w:rsidRDefault="005E493F" w:rsidP="005E493F">
      <w:pPr>
        <w:autoSpaceDE w:val="0"/>
        <w:autoSpaceDN w:val="0"/>
        <w:adjustRightInd w:val="0"/>
        <w:spacing w:after="0" w:line="240" w:lineRule="auto"/>
        <w:ind w:right="1107"/>
        <w:rPr>
          <w:rFonts w:cs="DIN-Regular"/>
        </w:rPr>
      </w:pPr>
    </w:p>
    <w:p w:rsidR="005E493F" w:rsidRDefault="005E493F" w:rsidP="005E493F">
      <w:pPr>
        <w:autoSpaceDE w:val="0"/>
        <w:autoSpaceDN w:val="0"/>
        <w:adjustRightInd w:val="0"/>
        <w:spacing w:after="0" w:line="240" w:lineRule="auto"/>
        <w:ind w:right="1107"/>
        <w:rPr>
          <w:rFonts w:cs="DIN-Regular"/>
        </w:rPr>
      </w:pPr>
    </w:p>
    <w:p w:rsidR="005E493F" w:rsidRDefault="005E493F" w:rsidP="005E493F">
      <w:pPr>
        <w:autoSpaceDE w:val="0"/>
        <w:autoSpaceDN w:val="0"/>
        <w:adjustRightInd w:val="0"/>
        <w:spacing w:after="0" w:line="240" w:lineRule="auto"/>
        <w:ind w:right="1107"/>
        <w:rPr>
          <w:rFonts w:cs="DIN-Regular"/>
        </w:rPr>
      </w:pPr>
    </w:p>
    <w:p w:rsidR="005E493F" w:rsidRDefault="005E493F" w:rsidP="005E493F">
      <w:pPr>
        <w:autoSpaceDE w:val="0"/>
        <w:autoSpaceDN w:val="0"/>
        <w:adjustRightInd w:val="0"/>
        <w:spacing w:after="0" w:line="240" w:lineRule="auto"/>
        <w:ind w:right="1107"/>
        <w:rPr>
          <w:rFonts w:cs="DIN-Regular"/>
        </w:rPr>
      </w:pPr>
    </w:p>
    <w:p w:rsidR="005E493F" w:rsidRDefault="005E493F" w:rsidP="005E493F">
      <w:pPr>
        <w:autoSpaceDE w:val="0"/>
        <w:autoSpaceDN w:val="0"/>
        <w:adjustRightInd w:val="0"/>
        <w:spacing w:after="0" w:line="240" w:lineRule="auto"/>
        <w:ind w:right="1107"/>
        <w:rPr>
          <w:rFonts w:cs="DIN-Regular"/>
        </w:rPr>
      </w:pPr>
    </w:p>
    <w:p w:rsidR="005E493F" w:rsidRDefault="00F06CC8" w:rsidP="005E493F">
      <w:pPr>
        <w:autoSpaceDE w:val="0"/>
        <w:autoSpaceDN w:val="0"/>
        <w:adjustRightInd w:val="0"/>
        <w:spacing w:after="0" w:line="240" w:lineRule="auto"/>
        <w:ind w:right="1107"/>
        <w:rPr>
          <w:rFonts w:cs="DIN-Regular"/>
        </w:rPr>
      </w:pPr>
      <w:r>
        <w:rPr>
          <w:rFonts w:cs="DIN-Regular"/>
          <w:noProof/>
        </w:rPr>
        <w:drawing>
          <wp:anchor distT="0" distB="0" distL="114300" distR="114300" simplePos="0" relativeHeight="251661312" behindDoc="1" locked="0" layoutInCell="1" allowOverlap="1">
            <wp:simplePos x="0" y="0"/>
            <wp:positionH relativeFrom="margin">
              <wp:posOffset>1270</wp:posOffset>
            </wp:positionH>
            <wp:positionV relativeFrom="margin">
              <wp:align>bottom</wp:align>
            </wp:positionV>
            <wp:extent cx="7595235" cy="482600"/>
            <wp:effectExtent l="19050" t="0" r="5715" b="0"/>
            <wp:wrapSquare wrapText="bothSides"/>
            <wp:docPr id="13"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95235" cy="482600"/>
                    </a:xfrm>
                    <a:prstGeom prst="rect">
                      <a:avLst/>
                    </a:prstGeom>
                  </pic:spPr>
                </pic:pic>
              </a:graphicData>
            </a:graphic>
          </wp:anchor>
        </w:drawing>
      </w:r>
    </w:p>
    <w:p w:rsidR="005E493F" w:rsidRDefault="00F06CC8" w:rsidP="005E493F">
      <w:pPr>
        <w:autoSpaceDE w:val="0"/>
        <w:autoSpaceDN w:val="0"/>
        <w:adjustRightInd w:val="0"/>
        <w:spacing w:after="0" w:line="240" w:lineRule="auto"/>
        <w:ind w:right="1107"/>
        <w:rPr>
          <w:rFonts w:cs="DIN-Regular"/>
        </w:rPr>
      </w:pPr>
      <w:r w:rsidRPr="00F06CC8">
        <w:rPr>
          <w:rFonts w:cs="DIN-Regular"/>
        </w:rPr>
        <w:lastRenderedPageBreak/>
        <w:drawing>
          <wp:anchor distT="0" distB="0" distL="114300" distR="114300" simplePos="0" relativeHeight="251669504" behindDoc="0" locked="0" layoutInCell="1" allowOverlap="1">
            <wp:simplePos x="0" y="0"/>
            <wp:positionH relativeFrom="margin">
              <wp:posOffset>1270</wp:posOffset>
            </wp:positionH>
            <wp:positionV relativeFrom="margin">
              <wp:posOffset>0</wp:posOffset>
            </wp:positionV>
            <wp:extent cx="7637145" cy="1699260"/>
            <wp:effectExtent l="19050" t="0" r="1905" b="0"/>
            <wp:wrapSquare wrapText="bothSides"/>
            <wp:docPr id="1"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637145" cy="1699260"/>
                    </a:xfrm>
                    <a:prstGeom prst="rect">
                      <a:avLst/>
                    </a:prstGeom>
                    <a:noFill/>
                    <a:ln w="9525">
                      <a:noFill/>
                      <a:miter lim="800000"/>
                      <a:headEnd/>
                      <a:tailEnd/>
                    </a:ln>
                  </pic:spPr>
                </pic:pic>
              </a:graphicData>
            </a:graphic>
          </wp:anchor>
        </w:drawing>
      </w:r>
    </w:p>
    <w:p w:rsidR="005E493F" w:rsidRDefault="005E493F" w:rsidP="005E493F">
      <w:pPr>
        <w:autoSpaceDE w:val="0"/>
        <w:autoSpaceDN w:val="0"/>
        <w:adjustRightInd w:val="0"/>
        <w:spacing w:after="0" w:line="240" w:lineRule="auto"/>
        <w:ind w:right="1107"/>
        <w:rPr>
          <w:rFonts w:cs="DIN-Regular"/>
        </w:rPr>
      </w:pPr>
    </w:p>
    <w:p w:rsidR="005E493F" w:rsidRPr="005E493F" w:rsidRDefault="005E493F" w:rsidP="005E493F">
      <w:pPr>
        <w:autoSpaceDE w:val="0"/>
        <w:autoSpaceDN w:val="0"/>
        <w:adjustRightInd w:val="0"/>
        <w:spacing w:after="0" w:line="240" w:lineRule="auto"/>
        <w:ind w:left="720"/>
        <w:rPr>
          <w:rFonts w:cs="DIN-Bold"/>
          <w:b/>
          <w:bCs/>
          <w:sz w:val="24"/>
          <w:szCs w:val="24"/>
        </w:rPr>
      </w:pPr>
      <w:r w:rsidRPr="005E493F">
        <w:rPr>
          <w:rFonts w:cs="DIN-Bold"/>
          <w:b/>
          <w:bCs/>
          <w:sz w:val="24"/>
          <w:szCs w:val="24"/>
        </w:rPr>
        <w:t>Surface Preparation</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The performance of this coating is directly related to the degree of surface preparation.</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Ensure surface is clean, dry and free from all contaminants.</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Surface must be sound and free from laitance.</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Remove laitance by wire brush or sweep blast.</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xml:space="preserve">Note: Fungal growth should be treated with Bison Fungicidal Solution. After drying, one coat of </w:t>
      </w:r>
      <w:proofErr w:type="spellStart"/>
      <w:r w:rsidRPr="005E493F">
        <w:rPr>
          <w:rFonts w:cs="DIN-Regular"/>
        </w:rPr>
        <w:t>Plastaseal</w:t>
      </w:r>
      <w:proofErr w:type="spellEnd"/>
      <w:r w:rsidRPr="005E493F">
        <w:rPr>
          <w:rFonts w:cs="DIN-Regular"/>
        </w:rPr>
        <w:t xml:space="preserve"> Penetrating Sealer can be applied if required.</w:t>
      </w:r>
    </w:p>
    <w:p w:rsidR="005E493F" w:rsidRPr="005E493F" w:rsidRDefault="005E493F" w:rsidP="005E493F">
      <w:pPr>
        <w:autoSpaceDE w:val="0"/>
        <w:autoSpaceDN w:val="0"/>
        <w:adjustRightInd w:val="0"/>
        <w:spacing w:after="0" w:line="240" w:lineRule="auto"/>
        <w:ind w:left="720"/>
        <w:rPr>
          <w:rFonts w:cs="DIN-Bold"/>
          <w:b/>
          <w:bCs/>
          <w:sz w:val="24"/>
          <w:szCs w:val="24"/>
        </w:rPr>
      </w:pPr>
    </w:p>
    <w:p w:rsidR="005E493F" w:rsidRPr="005E493F" w:rsidRDefault="005E493F" w:rsidP="005E493F">
      <w:pPr>
        <w:autoSpaceDE w:val="0"/>
        <w:autoSpaceDN w:val="0"/>
        <w:adjustRightInd w:val="0"/>
        <w:spacing w:after="0" w:line="240" w:lineRule="auto"/>
        <w:ind w:left="720"/>
        <w:rPr>
          <w:rFonts w:cs="DIN-Bold"/>
          <w:b/>
          <w:bCs/>
          <w:sz w:val="20"/>
          <w:szCs w:val="20"/>
        </w:rPr>
      </w:pPr>
      <w:r w:rsidRPr="005E493F">
        <w:rPr>
          <w:rFonts w:cs="DIN-Bold"/>
          <w:b/>
          <w:bCs/>
          <w:sz w:val="24"/>
          <w:szCs w:val="24"/>
        </w:rPr>
        <w:t>Application Details</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Ensure adequate ventilation during application and drying.</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Do not apply when humidity exceeds 85% and condensation is likely.</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Surface temperature should be 3°C or more above dew point.</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Stir the contents thoroughly before and during use, with a broad at stirrer, using an upward lifting action.</w:t>
      </w:r>
    </w:p>
    <w:p w:rsidR="005E493F" w:rsidRPr="005E493F" w:rsidRDefault="005E493F" w:rsidP="005E493F">
      <w:pPr>
        <w:autoSpaceDE w:val="0"/>
        <w:autoSpaceDN w:val="0"/>
        <w:adjustRightInd w:val="0"/>
        <w:spacing w:after="0" w:line="240" w:lineRule="auto"/>
        <w:ind w:left="720"/>
        <w:rPr>
          <w:rFonts w:cs="DIN-Regular"/>
        </w:rPr>
      </w:pPr>
      <w:r w:rsidRPr="005E493F">
        <w:rPr>
          <w:rFonts w:cs="DIN-Bold"/>
          <w:b/>
          <w:bCs/>
        </w:rPr>
        <w:t xml:space="preserve">Roller: </w:t>
      </w:r>
      <w:r w:rsidRPr="005E493F">
        <w:rPr>
          <w:rFonts w:cs="DIN-Regular"/>
        </w:rPr>
        <w:t>Recommended. Apply an even coat taking care to avoid runs and sags. Minimum two coats recommended.</w:t>
      </w:r>
    </w:p>
    <w:p w:rsidR="005E493F" w:rsidRDefault="005E493F" w:rsidP="005E493F">
      <w:pPr>
        <w:autoSpaceDE w:val="0"/>
        <w:autoSpaceDN w:val="0"/>
        <w:adjustRightInd w:val="0"/>
        <w:spacing w:after="0" w:line="240" w:lineRule="auto"/>
        <w:ind w:left="720" w:right="1107"/>
        <w:rPr>
          <w:rFonts w:cs="DIN-Regular"/>
        </w:rPr>
      </w:pPr>
      <w:r w:rsidRPr="005E493F">
        <w:rPr>
          <w:rFonts w:cs="DIN-Bold"/>
          <w:b/>
          <w:bCs/>
        </w:rPr>
        <w:t xml:space="preserve">Brush: </w:t>
      </w:r>
      <w:r w:rsidRPr="005E493F">
        <w:rPr>
          <w:rFonts w:cs="DIN-Regular"/>
        </w:rPr>
        <w:t>May also be used for small areas. The type of textures will be different.</w:t>
      </w:r>
    </w:p>
    <w:p w:rsidR="005E493F" w:rsidRDefault="005E493F" w:rsidP="005E493F">
      <w:pPr>
        <w:autoSpaceDE w:val="0"/>
        <w:autoSpaceDN w:val="0"/>
        <w:adjustRightInd w:val="0"/>
        <w:spacing w:after="0" w:line="240" w:lineRule="auto"/>
        <w:ind w:left="720" w:right="1107"/>
        <w:rPr>
          <w:rFonts w:cs="DIN-Regular"/>
        </w:rPr>
      </w:pPr>
    </w:p>
    <w:tbl>
      <w:tblPr>
        <w:tblStyle w:val="TableGrid"/>
        <w:tblW w:w="0" w:type="auto"/>
        <w:tblInd w:w="720" w:type="dxa"/>
        <w:tblLook w:val="04A0"/>
      </w:tblPr>
      <w:tblGrid>
        <w:gridCol w:w="10296"/>
      </w:tblGrid>
      <w:tr w:rsidR="005E493F" w:rsidTr="005E493F">
        <w:tc>
          <w:tcPr>
            <w:tcW w:w="11016" w:type="dxa"/>
          </w:tcPr>
          <w:p w:rsidR="005E493F" w:rsidRPr="005E493F" w:rsidRDefault="005E493F" w:rsidP="005E493F">
            <w:pPr>
              <w:autoSpaceDE w:val="0"/>
              <w:autoSpaceDN w:val="0"/>
              <w:adjustRightInd w:val="0"/>
              <w:rPr>
                <w:rFonts w:cs="DIN-Bold"/>
                <w:b/>
                <w:bCs/>
                <w:sz w:val="24"/>
                <w:szCs w:val="24"/>
              </w:rPr>
            </w:pPr>
            <w:r w:rsidRPr="005E493F">
              <w:rPr>
                <w:rFonts w:cs="DIN-Bold"/>
                <w:b/>
                <w:bCs/>
                <w:sz w:val="24"/>
                <w:szCs w:val="24"/>
              </w:rPr>
              <w:t>TYPICAL PAINT SYSTEM</w:t>
            </w:r>
          </w:p>
        </w:tc>
      </w:tr>
      <w:tr w:rsidR="005E493F" w:rsidTr="005E493F">
        <w:tc>
          <w:tcPr>
            <w:tcW w:w="11016" w:type="dxa"/>
          </w:tcPr>
          <w:p w:rsidR="005E493F" w:rsidRPr="005E493F" w:rsidRDefault="005E493F" w:rsidP="005E493F">
            <w:pPr>
              <w:autoSpaceDE w:val="0"/>
              <w:autoSpaceDN w:val="0"/>
              <w:adjustRightInd w:val="0"/>
              <w:rPr>
                <w:rFonts w:cs="DIN-Bold"/>
                <w:b/>
                <w:bCs/>
              </w:rPr>
            </w:pPr>
            <w:r w:rsidRPr="005E493F">
              <w:rPr>
                <w:rFonts w:cs="DIN-Bold"/>
                <w:b/>
                <w:bCs/>
              </w:rPr>
              <w:t>Interior</w:t>
            </w:r>
          </w:p>
        </w:tc>
      </w:tr>
      <w:tr w:rsidR="005E493F" w:rsidTr="005E493F">
        <w:tc>
          <w:tcPr>
            <w:tcW w:w="11016" w:type="dxa"/>
          </w:tcPr>
          <w:p w:rsidR="005E493F" w:rsidRPr="005E493F" w:rsidRDefault="005E493F" w:rsidP="005E493F">
            <w:pPr>
              <w:autoSpaceDE w:val="0"/>
              <w:autoSpaceDN w:val="0"/>
              <w:adjustRightInd w:val="0"/>
              <w:rPr>
                <w:rFonts w:cs="DIN-Regular"/>
              </w:rPr>
            </w:pPr>
            <w:r w:rsidRPr="005E493F">
              <w:rPr>
                <w:rFonts w:cs="DIN-Regular"/>
              </w:rPr>
              <w:t>1 coat x Berger Alkali Resistant Primer</w:t>
            </w:r>
          </w:p>
        </w:tc>
      </w:tr>
      <w:tr w:rsidR="005E493F" w:rsidTr="005E493F">
        <w:tc>
          <w:tcPr>
            <w:tcW w:w="11016" w:type="dxa"/>
          </w:tcPr>
          <w:p w:rsidR="005E493F" w:rsidRPr="005E493F" w:rsidRDefault="005E493F" w:rsidP="005E493F">
            <w:pPr>
              <w:autoSpaceDE w:val="0"/>
              <w:autoSpaceDN w:val="0"/>
              <w:adjustRightInd w:val="0"/>
              <w:rPr>
                <w:rFonts w:cs="DIN-Regular"/>
              </w:rPr>
            </w:pPr>
            <w:r w:rsidRPr="005E493F">
              <w:rPr>
                <w:rFonts w:cs="DIN-Regular"/>
              </w:rPr>
              <w:t>2 coats x Select Heavy Texture (WOMC)</w:t>
            </w:r>
          </w:p>
        </w:tc>
      </w:tr>
      <w:tr w:rsidR="005E493F" w:rsidTr="005E493F">
        <w:tc>
          <w:tcPr>
            <w:tcW w:w="11016" w:type="dxa"/>
          </w:tcPr>
          <w:p w:rsidR="005E493F" w:rsidRPr="005E493F" w:rsidRDefault="005E493F" w:rsidP="005E493F">
            <w:pPr>
              <w:autoSpaceDE w:val="0"/>
              <w:autoSpaceDN w:val="0"/>
              <w:adjustRightInd w:val="0"/>
              <w:ind w:right="1107"/>
              <w:rPr>
                <w:rFonts w:cs="DIN-Regular"/>
              </w:rPr>
            </w:pPr>
            <w:r w:rsidRPr="005E493F">
              <w:rPr>
                <w:rFonts w:cs="DIN-Regular"/>
              </w:rPr>
              <w:t>For alternate system suggestion please contact Berger Paints Sales Representative</w:t>
            </w:r>
          </w:p>
        </w:tc>
      </w:tr>
    </w:tbl>
    <w:p w:rsidR="005E493F" w:rsidRDefault="005E493F" w:rsidP="005E493F">
      <w:pPr>
        <w:autoSpaceDE w:val="0"/>
        <w:autoSpaceDN w:val="0"/>
        <w:adjustRightInd w:val="0"/>
        <w:spacing w:after="0" w:line="240" w:lineRule="auto"/>
        <w:ind w:right="1107"/>
        <w:rPr>
          <w:rFonts w:cs="DIN-Regular"/>
        </w:rPr>
      </w:pPr>
    </w:p>
    <w:p w:rsidR="005E493F" w:rsidRPr="005E493F" w:rsidRDefault="005E493F" w:rsidP="005E493F">
      <w:pPr>
        <w:autoSpaceDE w:val="0"/>
        <w:autoSpaceDN w:val="0"/>
        <w:adjustRightInd w:val="0"/>
        <w:spacing w:after="0" w:line="240" w:lineRule="auto"/>
        <w:ind w:left="720"/>
        <w:rPr>
          <w:rFonts w:cs="DIN-Bold"/>
          <w:b/>
          <w:bCs/>
          <w:sz w:val="24"/>
          <w:szCs w:val="24"/>
        </w:rPr>
      </w:pPr>
      <w:r w:rsidRPr="005E493F">
        <w:rPr>
          <w:rFonts w:cs="DIN-Bold"/>
          <w:b/>
          <w:bCs/>
          <w:sz w:val="24"/>
          <w:szCs w:val="24"/>
        </w:rPr>
        <w:t>Storage, Safety Information and Precautions</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Keep out of reach of children.</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Store in cool, dry conditions; ensure adequate ventilation during application.</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Shelf life up to 12 months from the date of manufacture.</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Avoid contact with skin and eyes; wear suitable protective clothing such as overalls, goggles, dust masks and gloves.</w:t>
      </w:r>
    </w:p>
    <w:p w:rsidR="005E493F" w:rsidRPr="005E493F" w:rsidRDefault="005E493F" w:rsidP="005E493F">
      <w:pPr>
        <w:autoSpaceDE w:val="0"/>
        <w:autoSpaceDN w:val="0"/>
        <w:adjustRightInd w:val="0"/>
        <w:spacing w:after="0" w:line="240" w:lineRule="auto"/>
        <w:ind w:left="720"/>
        <w:rPr>
          <w:rFonts w:cs="DIN-Bold"/>
          <w:b/>
          <w:bCs/>
        </w:rPr>
      </w:pPr>
    </w:p>
    <w:p w:rsidR="005E493F" w:rsidRPr="005E493F" w:rsidRDefault="005E493F" w:rsidP="005E493F">
      <w:pPr>
        <w:autoSpaceDE w:val="0"/>
        <w:autoSpaceDN w:val="0"/>
        <w:adjustRightInd w:val="0"/>
        <w:spacing w:after="0" w:line="240" w:lineRule="auto"/>
        <w:ind w:left="720"/>
        <w:rPr>
          <w:rFonts w:cs="DIN-Bold"/>
          <w:b/>
          <w:bCs/>
          <w:sz w:val="24"/>
          <w:szCs w:val="24"/>
        </w:rPr>
      </w:pPr>
      <w:r w:rsidRPr="005E493F">
        <w:rPr>
          <w:rFonts w:cs="DIN-Bold"/>
          <w:b/>
          <w:bCs/>
          <w:sz w:val="24"/>
          <w:szCs w:val="24"/>
        </w:rPr>
        <w:t>First-Aid</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Eyes: In the event of accidental splashes, flush eyes immediately with warm water and obtain medical advice.</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Skin: Wash skin thoroughly with soap and water, or with an approved industrial cleaner. Do not use solvents.</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Inhalation: Move patient to fresh air, loosen collar and keep patient rested.</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Ingestion: Do not induce vomiting. Obtain immediate medical attention.</w:t>
      </w:r>
    </w:p>
    <w:p w:rsidR="005E493F" w:rsidRPr="005E493F" w:rsidRDefault="005E493F" w:rsidP="005E493F">
      <w:pPr>
        <w:autoSpaceDE w:val="0"/>
        <w:autoSpaceDN w:val="0"/>
        <w:adjustRightInd w:val="0"/>
        <w:spacing w:after="0" w:line="240" w:lineRule="auto"/>
        <w:ind w:left="720"/>
        <w:rPr>
          <w:rFonts w:cs="DIN-Regular"/>
        </w:rPr>
      </w:pPr>
      <w:r w:rsidRPr="005E493F">
        <w:rPr>
          <w:rFonts w:cs="DIN-Regular"/>
        </w:rPr>
        <w:t>• Dispose in landfill only.</w:t>
      </w:r>
    </w:p>
    <w:p w:rsidR="005E493F" w:rsidRPr="005E493F" w:rsidRDefault="005E493F" w:rsidP="005E493F">
      <w:pPr>
        <w:autoSpaceDE w:val="0"/>
        <w:autoSpaceDN w:val="0"/>
        <w:adjustRightInd w:val="0"/>
        <w:spacing w:after="0" w:line="240" w:lineRule="auto"/>
        <w:ind w:left="720"/>
        <w:rPr>
          <w:rFonts w:cs="DIN-Bold"/>
          <w:b/>
          <w:bCs/>
        </w:rPr>
      </w:pPr>
    </w:p>
    <w:p w:rsidR="005E493F" w:rsidRPr="005E493F" w:rsidRDefault="005E493F" w:rsidP="005E493F">
      <w:pPr>
        <w:autoSpaceDE w:val="0"/>
        <w:autoSpaceDN w:val="0"/>
        <w:adjustRightInd w:val="0"/>
        <w:spacing w:after="0" w:line="240" w:lineRule="auto"/>
        <w:ind w:left="720"/>
        <w:rPr>
          <w:rFonts w:cs="DIN-Bold"/>
          <w:b/>
          <w:bCs/>
          <w:sz w:val="24"/>
          <w:szCs w:val="24"/>
        </w:rPr>
      </w:pPr>
      <w:r w:rsidRPr="005E493F">
        <w:rPr>
          <w:rFonts w:cs="DIN-Bold"/>
          <w:b/>
          <w:bCs/>
          <w:sz w:val="24"/>
          <w:szCs w:val="24"/>
        </w:rPr>
        <w:t>Disclaimer</w:t>
      </w:r>
    </w:p>
    <w:p w:rsidR="005E493F" w:rsidRDefault="005E493F" w:rsidP="005E493F">
      <w:pPr>
        <w:autoSpaceDE w:val="0"/>
        <w:autoSpaceDN w:val="0"/>
        <w:adjustRightInd w:val="0"/>
        <w:spacing w:after="0" w:line="240" w:lineRule="auto"/>
        <w:ind w:left="720"/>
        <w:rPr>
          <w:rFonts w:cs="DIN-RegularItalic"/>
          <w:i/>
          <w:iCs/>
        </w:rPr>
      </w:pPr>
      <w:r w:rsidRPr="005E493F">
        <w:rPr>
          <w:rFonts w:cs="DIN-RegularItalic"/>
          <w:i/>
          <w:iCs/>
        </w:rPr>
        <w:t>The information provided in this data sheet is not intended to be complete. It is the responsibility of the user to ensure that the product used is suitable for the purpose it is meant to serve. In view of various factors affecting the performance of the coating, we cannot assume responsibility for the product performance, nor do we accept any liability arising from use of this product, unless specifically agreed to in writing by us. The information provided in the datasheet may be modified by us without notice.</w:t>
      </w:r>
    </w:p>
    <w:p w:rsidR="005E493F" w:rsidRPr="005E493F" w:rsidRDefault="005E493F" w:rsidP="005E493F">
      <w:pPr>
        <w:autoSpaceDE w:val="0"/>
        <w:autoSpaceDN w:val="0"/>
        <w:adjustRightInd w:val="0"/>
        <w:spacing w:after="0" w:line="240" w:lineRule="auto"/>
        <w:ind w:left="720"/>
        <w:rPr>
          <w:rFonts w:cs="DIN-Regular"/>
        </w:rPr>
      </w:pPr>
    </w:p>
    <w:p w:rsidR="005E493F" w:rsidRDefault="005E493F" w:rsidP="005E493F">
      <w:pPr>
        <w:autoSpaceDE w:val="0"/>
        <w:autoSpaceDN w:val="0"/>
        <w:adjustRightInd w:val="0"/>
        <w:spacing w:after="0" w:line="240" w:lineRule="auto"/>
        <w:ind w:right="1107"/>
        <w:rPr>
          <w:rFonts w:cs="DIN-Regular"/>
        </w:rPr>
      </w:pPr>
    </w:p>
    <w:p w:rsidR="005E493F" w:rsidRPr="005E493F" w:rsidRDefault="005E493F" w:rsidP="005E493F">
      <w:pPr>
        <w:autoSpaceDE w:val="0"/>
        <w:autoSpaceDN w:val="0"/>
        <w:adjustRightInd w:val="0"/>
        <w:spacing w:after="0" w:line="240" w:lineRule="auto"/>
        <w:ind w:right="1107"/>
        <w:rPr>
          <w:rFonts w:cs="DIN-Regular"/>
        </w:rPr>
      </w:pPr>
      <w:r>
        <w:rPr>
          <w:rFonts w:cs="DIN-Regular"/>
          <w:noProof/>
        </w:rPr>
        <w:drawing>
          <wp:anchor distT="0" distB="0" distL="114300" distR="114300" simplePos="0" relativeHeight="251665408" behindDoc="1" locked="0" layoutInCell="1" allowOverlap="1">
            <wp:simplePos x="0" y="0"/>
            <wp:positionH relativeFrom="margin">
              <wp:posOffset>1270</wp:posOffset>
            </wp:positionH>
            <wp:positionV relativeFrom="margin">
              <wp:posOffset>10204450</wp:posOffset>
            </wp:positionV>
            <wp:extent cx="7588885" cy="482600"/>
            <wp:effectExtent l="19050" t="0" r="0" b="0"/>
            <wp:wrapSquare wrapText="bothSides"/>
            <wp:docPr id="15"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88885" cy="482600"/>
                    </a:xfrm>
                    <a:prstGeom prst="rect">
                      <a:avLst/>
                    </a:prstGeom>
                  </pic:spPr>
                </pic:pic>
              </a:graphicData>
            </a:graphic>
          </wp:anchor>
        </w:drawing>
      </w:r>
    </w:p>
    <w:sectPr w:rsidR="005E493F" w:rsidRPr="005E493F" w:rsidSect="005E493F">
      <w:pgSz w:w="11907" w:h="16839" w:code="9"/>
      <w:pgMar w:top="0" w:right="1107" w:bottom="0" w:left="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5E493F"/>
    <w:rsid w:val="00196D3A"/>
    <w:rsid w:val="005E493F"/>
    <w:rsid w:val="00916F97"/>
    <w:rsid w:val="00F06C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F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49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586</Words>
  <Characters>3343</Characters>
  <Application>Microsoft Office Word</Application>
  <DocSecurity>0</DocSecurity>
  <Lines>27</Lines>
  <Paragraphs>7</Paragraphs>
  <ScaleCrop>false</ScaleCrop>
  <Company/>
  <LinksUpToDate>false</LinksUpToDate>
  <CharactersWithSpaces>3922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2015-05-13T10:59:00Z</dcterms:created>
  <dcterms:modified xsi:type="dcterms:W3CDTF">2015-07-14T06:36:00Z</dcterms:modified>
</cp:coreProperties>
</file>