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63" w:rsidRDefault="00FD3A63" w:rsidP="00F43386">
      <w:pPr>
        <w:jc w:val="center"/>
        <w:rPr>
          <w:noProof/>
          <w:lang w:val="en-US"/>
        </w:rPr>
      </w:pPr>
      <w:r w:rsidRPr="00FD3A63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0</wp:posOffset>
            </wp:positionV>
            <wp:extent cx="7635240" cy="1695450"/>
            <wp:effectExtent l="19050" t="0" r="3810" b="0"/>
            <wp:wrapSquare wrapText="bothSides"/>
            <wp:docPr id="3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3386" w:rsidRPr="000F4F1B" w:rsidRDefault="00F43386" w:rsidP="00F43386">
      <w:pPr>
        <w:jc w:val="center"/>
        <w:rPr>
          <w:rFonts w:ascii="DIN-Bold" w:hAnsi="DIN-Bold" w:cs="DIN-Bold"/>
          <w:b/>
          <w:bCs/>
          <w:sz w:val="28"/>
          <w:szCs w:val="28"/>
        </w:rPr>
      </w:pPr>
      <w:r w:rsidRPr="000F4F1B">
        <w:rPr>
          <w:rFonts w:ascii="DIN-Bold" w:hAnsi="DIN-Bold" w:cs="DIN-Bold"/>
          <w:b/>
          <w:bCs/>
          <w:sz w:val="28"/>
          <w:szCs w:val="28"/>
        </w:rPr>
        <w:t>WEATHERCOAT VINTAGE GLAZE COAT (WB)</w:t>
      </w:r>
    </w:p>
    <w:p w:rsidR="00F43386" w:rsidRPr="000F4F1B" w:rsidRDefault="00F43386" w:rsidP="000F4F1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0F4F1B">
        <w:rPr>
          <w:rFonts w:cs="DIN-Bold"/>
          <w:b/>
          <w:bCs/>
          <w:sz w:val="24"/>
          <w:szCs w:val="24"/>
        </w:rPr>
        <w:t>Product Description</w:t>
      </w:r>
    </w:p>
    <w:p w:rsidR="00F43386" w:rsidRPr="000F4F1B" w:rsidRDefault="00F43386" w:rsidP="000F4F1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proofErr w:type="gramStart"/>
      <w:r w:rsidRPr="000F4F1B">
        <w:rPr>
          <w:rFonts w:cs="DIN-Regular"/>
        </w:rPr>
        <w:t>A high performance coating containing water repellent and UV resistant compounds to provide a tough, durable</w:t>
      </w:r>
      <w:r w:rsidR="000F4F1B" w:rsidRPr="000F4F1B">
        <w:rPr>
          <w:rFonts w:cs="DIN-Regular"/>
        </w:rPr>
        <w:t xml:space="preserve"> </w:t>
      </w:r>
      <w:r w:rsidRPr="000F4F1B">
        <w:rPr>
          <w:rFonts w:cs="DIN-Regular"/>
        </w:rPr>
        <w:t>composite coating for our Vintage system.</w:t>
      </w:r>
      <w:proofErr w:type="gramEnd"/>
    </w:p>
    <w:p w:rsidR="00F43386" w:rsidRPr="000F4F1B" w:rsidRDefault="00F43386" w:rsidP="000F4F1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</w:rPr>
      </w:pPr>
    </w:p>
    <w:p w:rsidR="00F43386" w:rsidRPr="000F4F1B" w:rsidRDefault="00F43386" w:rsidP="000F4F1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0F4F1B">
        <w:rPr>
          <w:rFonts w:cs="DIN-Bold"/>
          <w:b/>
          <w:bCs/>
          <w:sz w:val="24"/>
          <w:szCs w:val="24"/>
        </w:rPr>
        <w:t>Recommended Areas of Application</w:t>
      </w:r>
    </w:p>
    <w:p w:rsidR="00F43386" w:rsidRPr="000F4F1B" w:rsidRDefault="00F43386" w:rsidP="000F4F1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0F4F1B">
        <w:rPr>
          <w:rFonts w:cs="DIN-Bold"/>
          <w:b/>
          <w:bCs/>
        </w:rPr>
        <w:t xml:space="preserve">Area of Use: </w:t>
      </w:r>
      <w:r w:rsidRPr="000F4F1B">
        <w:rPr>
          <w:rFonts w:cs="DIN-Regular"/>
        </w:rPr>
        <w:t>Interior and exterior</w:t>
      </w:r>
    </w:p>
    <w:p w:rsidR="00F43386" w:rsidRPr="000F4F1B" w:rsidRDefault="00F43386" w:rsidP="000F4F1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0F4F1B">
        <w:rPr>
          <w:rFonts w:cs="DIN-Bold"/>
          <w:b/>
          <w:bCs/>
        </w:rPr>
        <w:t xml:space="preserve">Substrate: </w:t>
      </w:r>
      <w:r w:rsidRPr="000F4F1B">
        <w:rPr>
          <w:rFonts w:cs="DIN-Regular"/>
        </w:rPr>
        <w:t>Concrete, Plaster and Masonry</w:t>
      </w:r>
    </w:p>
    <w:p w:rsidR="00F43386" w:rsidRPr="000F4F1B" w:rsidRDefault="00F43386" w:rsidP="000F4F1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</w:rPr>
      </w:pPr>
    </w:p>
    <w:p w:rsidR="00F43386" w:rsidRPr="000F4F1B" w:rsidRDefault="00F43386" w:rsidP="000F4F1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0F4F1B">
        <w:rPr>
          <w:rFonts w:cs="DIN-Bold"/>
          <w:b/>
          <w:bCs/>
          <w:sz w:val="24"/>
          <w:szCs w:val="24"/>
        </w:rPr>
        <w:t>Technical Data</w:t>
      </w:r>
    </w:p>
    <w:p w:rsidR="00F43386" w:rsidRPr="000F4F1B" w:rsidRDefault="00F43386" w:rsidP="000F4F1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0F4F1B">
        <w:rPr>
          <w:rFonts w:cs="DIN-Bold"/>
          <w:b/>
          <w:bCs/>
        </w:rPr>
        <w:t xml:space="preserve">Finish: </w:t>
      </w:r>
      <w:r w:rsidRPr="000F4F1B">
        <w:rPr>
          <w:rFonts w:cs="DIN-Regular"/>
        </w:rPr>
        <w:t>Matt, Smooth</w:t>
      </w:r>
    </w:p>
    <w:p w:rsidR="00F43386" w:rsidRPr="000F4F1B" w:rsidRDefault="00F43386" w:rsidP="000F4F1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0F4F1B">
        <w:rPr>
          <w:rFonts w:cs="DIN-Bold"/>
          <w:b/>
          <w:bCs/>
        </w:rPr>
        <w:t xml:space="preserve">Colours: </w:t>
      </w:r>
      <w:r w:rsidRPr="000F4F1B">
        <w:rPr>
          <w:rFonts w:cs="DIN-Regular"/>
        </w:rPr>
        <w:t>Clear</w:t>
      </w:r>
    </w:p>
    <w:p w:rsidR="00F43386" w:rsidRPr="000F4F1B" w:rsidRDefault="00F43386" w:rsidP="000F4F1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0F4F1B">
        <w:rPr>
          <w:rFonts w:cs="DIN-Bold"/>
          <w:b/>
          <w:bCs/>
        </w:rPr>
        <w:t xml:space="preserve">Solids (% by volume): </w:t>
      </w:r>
      <w:r w:rsidRPr="000F4F1B">
        <w:rPr>
          <w:rFonts w:cs="DIN-Regular"/>
        </w:rPr>
        <w:t>25± 2</w:t>
      </w:r>
    </w:p>
    <w:p w:rsidR="00F43386" w:rsidRPr="000F4F1B" w:rsidRDefault="00F43386" w:rsidP="000F4F1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0F4F1B">
        <w:rPr>
          <w:rFonts w:cs="DIN-Bold"/>
          <w:b/>
          <w:bCs/>
        </w:rPr>
        <w:t xml:space="preserve">Thinner/Cleaner: </w:t>
      </w:r>
      <w:r w:rsidRPr="000F4F1B">
        <w:rPr>
          <w:rFonts w:cs="DIN-Regular"/>
        </w:rPr>
        <w:t>Sweet water</w:t>
      </w:r>
    </w:p>
    <w:p w:rsidR="00F43386" w:rsidRPr="000F4F1B" w:rsidRDefault="00F43386" w:rsidP="000F4F1B">
      <w:pPr>
        <w:ind w:left="567"/>
        <w:rPr>
          <w:rFonts w:cs="DIN-Regular"/>
        </w:rPr>
      </w:pPr>
      <w:r w:rsidRPr="000F4F1B">
        <w:rPr>
          <w:rFonts w:cs="DIN-Bold"/>
          <w:b/>
          <w:bCs/>
        </w:rPr>
        <w:t xml:space="preserve">Theoretical Spread Rate: </w:t>
      </w:r>
      <w:r w:rsidRPr="000F4F1B">
        <w:rPr>
          <w:rFonts w:cs="DIN-Regular"/>
        </w:rPr>
        <w:t xml:space="preserve">6-10sqm. </w:t>
      </w:r>
      <w:proofErr w:type="gramStart"/>
      <w:r w:rsidRPr="000F4F1B">
        <w:rPr>
          <w:rFonts w:cs="DIN-Regular"/>
        </w:rPr>
        <w:t>per</w:t>
      </w:r>
      <w:proofErr w:type="gramEnd"/>
      <w:r w:rsidRPr="000F4F1B">
        <w:rPr>
          <w:rFonts w:cs="DIN-Regular"/>
        </w:rPr>
        <w:t xml:space="preserve"> litre depending on profile of stone finish</w:t>
      </w:r>
    </w:p>
    <w:tbl>
      <w:tblPr>
        <w:tblStyle w:val="TableGrid"/>
        <w:tblW w:w="0" w:type="auto"/>
        <w:jc w:val="center"/>
        <w:tblInd w:w="1101" w:type="dxa"/>
        <w:tblLook w:val="04A0"/>
      </w:tblPr>
      <w:tblGrid>
        <w:gridCol w:w="9213"/>
      </w:tblGrid>
      <w:tr w:rsidR="00F43386" w:rsidRPr="000F4F1B" w:rsidTr="000F4F1B">
        <w:trPr>
          <w:jc w:val="center"/>
        </w:trPr>
        <w:tc>
          <w:tcPr>
            <w:tcW w:w="9213" w:type="dxa"/>
          </w:tcPr>
          <w:p w:rsidR="00F43386" w:rsidRPr="000F4F1B" w:rsidRDefault="00F43386" w:rsidP="00F43386">
            <w:pPr>
              <w:rPr>
                <w:sz w:val="24"/>
                <w:szCs w:val="24"/>
              </w:rPr>
            </w:pPr>
            <w:r w:rsidRPr="000F4F1B">
              <w:rPr>
                <w:rFonts w:cs="DIN-Bold"/>
                <w:b/>
                <w:bCs/>
                <w:sz w:val="24"/>
                <w:szCs w:val="24"/>
              </w:rPr>
              <w:t>Practical Spread Rate</w:t>
            </w:r>
          </w:p>
        </w:tc>
      </w:tr>
      <w:tr w:rsidR="00F43386" w:rsidRPr="000F4F1B" w:rsidTr="000F4F1B">
        <w:trPr>
          <w:jc w:val="center"/>
        </w:trPr>
        <w:tc>
          <w:tcPr>
            <w:tcW w:w="9213" w:type="dxa"/>
          </w:tcPr>
          <w:p w:rsidR="00F43386" w:rsidRPr="000F4F1B" w:rsidRDefault="00F43386" w:rsidP="00F43386">
            <w:pPr>
              <w:autoSpaceDE w:val="0"/>
              <w:autoSpaceDN w:val="0"/>
              <w:adjustRightInd w:val="0"/>
              <w:rPr>
                <w:rFonts w:cs="DIN-Regular"/>
              </w:rPr>
            </w:pPr>
            <w:r w:rsidRPr="000F4F1B">
              <w:rPr>
                <w:rFonts w:cs="DIN-Regular"/>
              </w:rPr>
              <w:t>While estimating the practical spread rates, due allowance should be made for surface profile of the secondary coat and the absorption of the glaze coat into secondary coat.</w:t>
            </w:r>
          </w:p>
        </w:tc>
      </w:tr>
    </w:tbl>
    <w:p w:rsidR="00F43386" w:rsidRDefault="00F43386" w:rsidP="00F43386"/>
    <w:tbl>
      <w:tblPr>
        <w:tblStyle w:val="TableGrid"/>
        <w:tblW w:w="0" w:type="auto"/>
        <w:jc w:val="center"/>
        <w:tblLook w:val="04A0"/>
      </w:tblPr>
      <w:tblGrid>
        <w:gridCol w:w="1526"/>
        <w:gridCol w:w="2126"/>
        <w:gridCol w:w="1418"/>
        <w:gridCol w:w="2268"/>
        <w:gridCol w:w="1842"/>
      </w:tblGrid>
      <w:tr w:rsidR="000F4F1B" w:rsidRPr="000F4F1B" w:rsidTr="000F4F1B">
        <w:trPr>
          <w:jc w:val="center"/>
        </w:trPr>
        <w:tc>
          <w:tcPr>
            <w:tcW w:w="1526" w:type="dxa"/>
            <w:vMerge w:val="restart"/>
          </w:tcPr>
          <w:p w:rsidR="000F4F1B" w:rsidRPr="000F4F1B" w:rsidRDefault="000F4F1B" w:rsidP="00F43386">
            <w:r w:rsidRPr="000F4F1B">
              <w:rPr>
                <w:rFonts w:cs="DIN-Bold"/>
                <w:b/>
                <w:bCs/>
              </w:rPr>
              <w:t>Drying time</w:t>
            </w:r>
          </w:p>
        </w:tc>
        <w:tc>
          <w:tcPr>
            <w:tcW w:w="2126" w:type="dxa"/>
            <w:vMerge w:val="restart"/>
          </w:tcPr>
          <w:p w:rsidR="000F4F1B" w:rsidRPr="000F4F1B" w:rsidRDefault="000F4F1B" w:rsidP="00F43386">
            <w:r w:rsidRPr="000F4F1B">
              <w:rPr>
                <w:rFonts w:cs="DIN-Bold"/>
                <w:b/>
                <w:bCs/>
              </w:rPr>
              <w:t>Substrate Temp.</w:t>
            </w:r>
          </w:p>
        </w:tc>
        <w:tc>
          <w:tcPr>
            <w:tcW w:w="1418" w:type="dxa"/>
            <w:vMerge w:val="restart"/>
          </w:tcPr>
          <w:p w:rsidR="000F4F1B" w:rsidRPr="000F4F1B" w:rsidRDefault="000F4F1B" w:rsidP="00F43386">
            <w:r w:rsidRPr="000F4F1B">
              <w:rPr>
                <w:rFonts w:cs="DIN-Bold"/>
                <w:b/>
                <w:bCs/>
              </w:rPr>
              <w:t>Touch Dry</w:t>
            </w:r>
          </w:p>
        </w:tc>
        <w:tc>
          <w:tcPr>
            <w:tcW w:w="4110" w:type="dxa"/>
            <w:gridSpan w:val="2"/>
          </w:tcPr>
          <w:p w:rsidR="000F4F1B" w:rsidRPr="000F4F1B" w:rsidRDefault="000F4F1B" w:rsidP="00F43386">
            <w:proofErr w:type="spellStart"/>
            <w:r w:rsidRPr="000F4F1B">
              <w:rPr>
                <w:rFonts w:cs="DIN-Bold"/>
                <w:b/>
                <w:bCs/>
              </w:rPr>
              <w:t>Overcoating</w:t>
            </w:r>
            <w:proofErr w:type="spellEnd"/>
            <w:r w:rsidRPr="000F4F1B">
              <w:rPr>
                <w:rFonts w:cs="DIN-Bold"/>
                <w:b/>
                <w:bCs/>
              </w:rPr>
              <w:t xml:space="preserve"> Interval</w:t>
            </w:r>
          </w:p>
        </w:tc>
      </w:tr>
      <w:tr w:rsidR="000F4F1B" w:rsidRPr="000F4F1B" w:rsidTr="000F4F1B">
        <w:trPr>
          <w:jc w:val="center"/>
        </w:trPr>
        <w:tc>
          <w:tcPr>
            <w:tcW w:w="1526" w:type="dxa"/>
            <w:vMerge/>
          </w:tcPr>
          <w:p w:rsidR="000F4F1B" w:rsidRPr="000F4F1B" w:rsidRDefault="000F4F1B" w:rsidP="00F43386"/>
        </w:tc>
        <w:tc>
          <w:tcPr>
            <w:tcW w:w="2126" w:type="dxa"/>
            <w:vMerge/>
          </w:tcPr>
          <w:p w:rsidR="000F4F1B" w:rsidRPr="000F4F1B" w:rsidRDefault="000F4F1B" w:rsidP="00F43386"/>
        </w:tc>
        <w:tc>
          <w:tcPr>
            <w:tcW w:w="1418" w:type="dxa"/>
            <w:vMerge/>
          </w:tcPr>
          <w:p w:rsidR="000F4F1B" w:rsidRPr="000F4F1B" w:rsidRDefault="000F4F1B" w:rsidP="00F43386"/>
        </w:tc>
        <w:tc>
          <w:tcPr>
            <w:tcW w:w="2268" w:type="dxa"/>
          </w:tcPr>
          <w:p w:rsidR="000F4F1B" w:rsidRPr="000F4F1B" w:rsidRDefault="000F4F1B" w:rsidP="00F43386">
            <w:r w:rsidRPr="000F4F1B">
              <w:rPr>
                <w:rFonts w:cs="DIN-Bold"/>
                <w:b/>
                <w:bCs/>
              </w:rPr>
              <w:t>Minimum</w:t>
            </w:r>
          </w:p>
        </w:tc>
        <w:tc>
          <w:tcPr>
            <w:tcW w:w="1842" w:type="dxa"/>
          </w:tcPr>
          <w:p w:rsidR="000F4F1B" w:rsidRPr="000F4F1B" w:rsidRDefault="000F4F1B" w:rsidP="00F43386">
            <w:r w:rsidRPr="000F4F1B">
              <w:rPr>
                <w:rFonts w:cs="DIN-Bold"/>
                <w:b/>
                <w:bCs/>
              </w:rPr>
              <w:t>Maximum</w:t>
            </w:r>
          </w:p>
        </w:tc>
      </w:tr>
      <w:tr w:rsidR="00F43386" w:rsidRPr="000F4F1B" w:rsidTr="000F4F1B">
        <w:trPr>
          <w:jc w:val="center"/>
        </w:trPr>
        <w:tc>
          <w:tcPr>
            <w:tcW w:w="1526" w:type="dxa"/>
            <w:vMerge/>
          </w:tcPr>
          <w:p w:rsidR="00F43386" w:rsidRPr="000F4F1B" w:rsidRDefault="00F43386" w:rsidP="00F43386"/>
        </w:tc>
        <w:tc>
          <w:tcPr>
            <w:tcW w:w="2126" w:type="dxa"/>
          </w:tcPr>
          <w:p w:rsidR="00F43386" w:rsidRPr="000F4F1B" w:rsidRDefault="000F4F1B" w:rsidP="00F43386">
            <w:r w:rsidRPr="000F4F1B">
              <w:rPr>
                <w:rFonts w:cs="DIN-Regular"/>
              </w:rPr>
              <w:t>35°C</w:t>
            </w:r>
          </w:p>
        </w:tc>
        <w:tc>
          <w:tcPr>
            <w:tcW w:w="1418" w:type="dxa"/>
          </w:tcPr>
          <w:p w:rsidR="00F43386" w:rsidRPr="000F4F1B" w:rsidRDefault="000F4F1B" w:rsidP="00F43386">
            <w:r w:rsidRPr="000F4F1B">
              <w:rPr>
                <w:rFonts w:cs="DIN-Regular"/>
              </w:rPr>
              <w:t>20 minutes</w:t>
            </w:r>
          </w:p>
        </w:tc>
        <w:tc>
          <w:tcPr>
            <w:tcW w:w="2268" w:type="dxa"/>
          </w:tcPr>
          <w:p w:rsidR="00F43386" w:rsidRPr="000F4F1B" w:rsidRDefault="000F4F1B" w:rsidP="00F43386">
            <w:r w:rsidRPr="000F4F1B">
              <w:rPr>
                <w:rFonts w:cs="DIN-Regular"/>
              </w:rPr>
              <w:t>2 hours</w:t>
            </w:r>
          </w:p>
        </w:tc>
        <w:tc>
          <w:tcPr>
            <w:tcW w:w="1842" w:type="dxa"/>
          </w:tcPr>
          <w:p w:rsidR="00F43386" w:rsidRPr="000F4F1B" w:rsidRDefault="00F43386" w:rsidP="00F43386">
            <w:r w:rsidRPr="000F4F1B">
              <w:rPr>
                <w:rFonts w:cs="DIN-Regular"/>
              </w:rPr>
              <w:t>Indefinite</w:t>
            </w:r>
          </w:p>
        </w:tc>
      </w:tr>
    </w:tbl>
    <w:p w:rsidR="00F43386" w:rsidRDefault="00F43386" w:rsidP="00F43386"/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8F4618">
        <w:rPr>
          <w:rFonts w:cs="DIN-Bold"/>
          <w:b/>
          <w:bCs/>
          <w:sz w:val="24"/>
          <w:szCs w:val="24"/>
        </w:rPr>
        <w:t>Storage and Handling</w:t>
      </w:r>
    </w:p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8F4618">
        <w:rPr>
          <w:rFonts w:cs="DIN-Bold"/>
          <w:b/>
          <w:bCs/>
        </w:rPr>
        <w:t xml:space="preserve">Storage: </w:t>
      </w:r>
      <w:r w:rsidRPr="008F4618">
        <w:rPr>
          <w:rFonts w:cs="DIN-Regular"/>
        </w:rPr>
        <w:t>Store in cool, dry conditions.</w:t>
      </w:r>
    </w:p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8F4618">
        <w:rPr>
          <w:rFonts w:cs="DIN-Bold"/>
          <w:b/>
          <w:bCs/>
        </w:rPr>
        <w:t xml:space="preserve">Disposal: </w:t>
      </w:r>
      <w:r w:rsidRPr="008F4618">
        <w:rPr>
          <w:rFonts w:cs="DIN-Regular"/>
        </w:rPr>
        <w:t>Dispose as normal paints e.g. by controlled landfill. In case of doubt, consult local authority. Do not empty into drains, sewers or other water courses.</w:t>
      </w:r>
    </w:p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8F4618">
        <w:rPr>
          <w:rFonts w:cs="DIN-Bold"/>
          <w:b/>
          <w:bCs/>
        </w:rPr>
        <w:t xml:space="preserve">Flash Point: </w:t>
      </w:r>
      <w:r w:rsidRPr="008F4618">
        <w:rPr>
          <w:rFonts w:cs="DIN-Regular"/>
        </w:rPr>
        <w:t>N/A</w:t>
      </w:r>
    </w:p>
    <w:p w:rsidR="000F4F1B" w:rsidRPr="008F4618" w:rsidRDefault="008128DC" w:rsidP="008128DC">
      <w:pPr>
        <w:ind w:left="567"/>
        <w:rPr>
          <w:rFonts w:cs="DIN-Regular"/>
        </w:rPr>
      </w:pPr>
      <w:r w:rsidRPr="008F4618">
        <w:rPr>
          <w:rFonts w:cs="DIN-Bold"/>
          <w:b/>
          <w:bCs/>
        </w:rPr>
        <w:t xml:space="preserve">Shell Life: </w:t>
      </w:r>
      <w:proofErr w:type="spellStart"/>
      <w:r w:rsidRPr="008F4618">
        <w:rPr>
          <w:rFonts w:cs="DIN-Regular"/>
        </w:rPr>
        <w:t>Upto</w:t>
      </w:r>
      <w:proofErr w:type="spellEnd"/>
      <w:r w:rsidRPr="008F4618">
        <w:rPr>
          <w:rFonts w:cs="DIN-Regular"/>
        </w:rPr>
        <w:t xml:space="preserve"> 12 months</w:t>
      </w:r>
    </w:p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8F4618">
        <w:rPr>
          <w:rFonts w:cs="DIN-Bold"/>
          <w:b/>
          <w:bCs/>
          <w:sz w:val="24"/>
          <w:szCs w:val="24"/>
        </w:rPr>
        <w:t>Application Method</w:t>
      </w:r>
    </w:p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8F4618">
        <w:rPr>
          <w:rFonts w:cs="DIN-Regular"/>
        </w:rPr>
        <w:t>Ensure adequate ventilation during application and drying. Do not apply when humidity exceeds 85% and condensation is likely. Only apply coating when surface temperature should be 3°C or more above dew point. Use 5% to 10%thinner for ease of application depending on the method of application.</w:t>
      </w:r>
    </w:p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8F4618">
        <w:rPr>
          <w:rFonts w:cs="DIN-Bold"/>
          <w:b/>
          <w:bCs/>
        </w:rPr>
        <w:t>Brush or Roller</w:t>
      </w:r>
      <w:r w:rsidRPr="008F4618">
        <w:rPr>
          <w:rFonts w:cs="DIN-Regular"/>
        </w:rPr>
        <w:t>: Apply an even coat taking care to avoid runs and sags.</w:t>
      </w:r>
    </w:p>
    <w:p w:rsidR="008128DC" w:rsidRDefault="008128DC" w:rsidP="008128DC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888D"/>
          <w:sz w:val="20"/>
          <w:szCs w:val="20"/>
        </w:rPr>
      </w:pPr>
    </w:p>
    <w:p w:rsidR="008128DC" w:rsidRDefault="008128DC" w:rsidP="008128DC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888D"/>
          <w:sz w:val="20"/>
          <w:szCs w:val="20"/>
        </w:rPr>
      </w:pPr>
    </w:p>
    <w:p w:rsidR="008F4618" w:rsidRPr="008F4618" w:rsidRDefault="008F4618" w:rsidP="008F4618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8F4618">
        <w:rPr>
          <w:rFonts w:cs="DIN-Bold"/>
          <w:b/>
          <w:bCs/>
          <w:sz w:val="24"/>
          <w:szCs w:val="24"/>
        </w:rPr>
        <w:t>Safety Precautions</w:t>
      </w:r>
    </w:p>
    <w:p w:rsidR="008F4618" w:rsidRPr="008F4618" w:rsidRDefault="008F4618" w:rsidP="008F4618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8F4618">
        <w:rPr>
          <w:rFonts w:cs="DIN-Regular"/>
        </w:rPr>
        <w:t>• Avoid contact with the skin and eyes. Wear suitable protective clothing such as overalls, goggles, dust masks and gloves. Use a barrier cream.</w:t>
      </w:r>
    </w:p>
    <w:p w:rsidR="008F4618" w:rsidRPr="008F4618" w:rsidRDefault="008F4618" w:rsidP="008F4618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8F4618">
        <w:rPr>
          <w:rFonts w:cs="DIN-Regular"/>
        </w:rPr>
        <w:t>• Ensure that there is adequate ventilation in the area where the product is being applied. Do not breathe vapour or spray.</w:t>
      </w:r>
    </w:p>
    <w:p w:rsidR="008128DC" w:rsidRDefault="00FD3A63" w:rsidP="00FD3A63">
      <w:pPr>
        <w:autoSpaceDE w:val="0"/>
        <w:autoSpaceDN w:val="0"/>
        <w:adjustRightInd w:val="0"/>
        <w:spacing w:after="0" w:line="240" w:lineRule="auto"/>
        <w:ind w:left="567"/>
        <w:rPr>
          <w:rFonts w:ascii="DIN-Bold" w:hAnsi="DIN-Bold" w:cs="DIN-Bold"/>
          <w:b/>
          <w:bCs/>
          <w:color w:val="00888D"/>
          <w:sz w:val="20"/>
          <w:szCs w:val="20"/>
        </w:rPr>
      </w:pPr>
      <w:r>
        <w:rPr>
          <w:rFonts w:cs="DIN-Regular"/>
          <w:noProof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10210800</wp:posOffset>
            </wp:positionV>
            <wp:extent cx="7600950" cy="485775"/>
            <wp:effectExtent l="19050" t="0" r="0" b="0"/>
            <wp:wrapSquare wrapText="bothSides"/>
            <wp:docPr id="1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618" w:rsidRPr="008F4618">
        <w:rPr>
          <w:rFonts w:cs="DIN-Regular"/>
        </w:rPr>
        <w:t>• Refer to MSDS for safe handling and application of this product.</w:t>
      </w:r>
    </w:p>
    <w:p w:rsidR="008128DC" w:rsidRDefault="00FD3A63" w:rsidP="008128DC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888D"/>
          <w:sz w:val="20"/>
          <w:szCs w:val="20"/>
        </w:rPr>
      </w:pPr>
      <w:r w:rsidRPr="00FD3A63">
        <w:rPr>
          <w:rFonts w:ascii="DIN-Bold" w:hAnsi="DIN-Bold" w:cs="DIN-Bold"/>
          <w:b/>
          <w:bCs/>
          <w:color w:val="00888D"/>
          <w:sz w:val="20"/>
          <w:szCs w:val="20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-165100</wp:posOffset>
            </wp:positionH>
            <wp:positionV relativeFrom="margin">
              <wp:posOffset>0</wp:posOffset>
            </wp:positionV>
            <wp:extent cx="7635240" cy="1695450"/>
            <wp:effectExtent l="19050" t="0" r="3810" b="0"/>
            <wp:wrapSquare wrapText="bothSides"/>
            <wp:docPr id="2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8DC" w:rsidRDefault="008128DC" w:rsidP="008F4618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888D"/>
          <w:sz w:val="20"/>
          <w:szCs w:val="20"/>
        </w:rPr>
      </w:pPr>
    </w:p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8F4618">
        <w:rPr>
          <w:rFonts w:cs="DIN-Bold"/>
          <w:b/>
          <w:bCs/>
          <w:sz w:val="24"/>
          <w:szCs w:val="24"/>
        </w:rPr>
        <w:t>First-Aid</w:t>
      </w:r>
    </w:p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8F4618">
        <w:rPr>
          <w:rFonts w:cs="DIN-Regular"/>
        </w:rPr>
        <w:t>• Eyes: In the event of accidental splashes, flush eyes immediately wit</w:t>
      </w:r>
      <w:r w:rsidR="008F4618" w:rsidRPr="008F4618">
        <w:rPr>
          <w:rFonts w:cs="DIN-Regular"/>
        </w:rPr>
        <w:t xml:space="preserve">h warm water and obtain medical </w:t>
      </w:r>
      <w:r w:rsidRPr="008F4618">
        <w:rPr>
          <w:rFonts w:cs="DIN-Regular"/>
        </w:rPr>
        <w:t>advice.</w:t>
      </w:r>
    </w:p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8F4618">
        <w:rPr>
          <w:rFonts w:cs="DIN-Regular"/>
        </w:rPr>
        <w:t>• Skin: Wash skin thoroughly with soap and water, or with an approved industrial cleaner. Do not use solvents.</w:t>
      </w:r>
    </w:p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8F4618">
        <w:rPr>
          <w:rFonts w:cs="DIN-Regular"/>
        </w:rPr>
        <w:t>• Inhalation: Remove to fresh air, loosen collar and keep patient rested.</w:t>
      </w:r>
    </w:p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8F4618">
        <w:rPr>
          <w:rFonts w:cs="DIN-Regular"/>
        </w:rPr>
        <w:t>• Ingestion: In case of accidental ingestion do not induce vomiting. Obtain immediate medical attention.</w:t>
      </w:r>
    </w:p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0"/>
          <w:szCs w:val="20"/>
        </w:rPr>
      </w:pPr>
    </w:p>
    <w:p w:rsidR="008128DC" w:rsidRPr="008F4618" w:rsidRDefault="008128DC" w:rsidP="008128DC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8F4618">
        <w:rPr>
          <w:rFonts w:cs="DIN-Bold"/>
          <w:b/>
          <w:bCs/>
          <w:sz w:val="24"/>
          <w:szCs w:val="24"/>
        </w:rPr>
        <w:t>Disclaimer</w:t>
      </w:r>
    </w:p>
    <w:p w:rsidR="008128DC" w:rsidRPr="008F4618" w:rsidRDefault="00FD3A63" w:rsidP="008128DC">
      <w:pPr>
        <w:autoSpaceDE w:val="0"/>
        <w:autoSpaceDN w:val="0"/>
        <w:adjustRightInd w:val="0"/>
        <w:spacing w:after="0" w:line="240" w:lineRule="auto"/>
        <w:ind w:left="567"/>
      </w:pPr>
      <w:r>
        <w:rPr>
          <w:rFonts w:cs="DIN-RegularItalic"/>
          <w:i/>
          <w:iCs/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-160655</wp:posOffset>
            </wp:positionH>
            <wp:positionV relativeFrom="margin">
              <wp:align>bottom</wp:align>
            </wp:positionV>
            <wp:extent cx="7600950" cy="485775"/>
            <wp:effectExtent l="19050" t="0" r="0" b="0"/>
            <wp:wrapSquare wrapText="bothSides"/>
            <wp:docPr id="6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8DC" w:rsidRPr="008F4618">
        <w:rPr>
          <w:rFonts w:cs="DIN-RegularItalic"/>
          <w:i/>
          <w:iCs/>
        </w:rPr>
        <w:t>The information provided in this data sheet is not intended to be complete. It is th</w:t>
      </w:r>
      <w:r w:rsidR="008F4618" w:rsidRPr="008F4618">
        <w:rPr>
          <w:rFonts w:cs="DIN-RegularItalic"/>
          <w:i/>
          <w:iCs/>
        </w:rPr>
        <w:t xml:space="preserve">e responsibility of the user to </w:t>
      </w:r>
      <w:r w:rsidR="008128DC" w:rsidRPr="008F4618">
        <w:rPr>
          <w:rFonts w:cs="DIN-RegularItalic"/>
          <w:i/>
          <w:iCs/>
        </w:rPr>
        <w:t>ensure that the product used is suitable for the purpose it is meant to serve. In view of various fac</w:t>
      </w:r>
      <w:r w:rsidR="008F4618" w:rsidRPr="008F4618">
        <w:rPr>
          <w:rFonts w:cs="DIN-RegularItalic"/>
          <w:i/>
          <w:iCs/>
        </w:rPr>
        <w:t xml:space="preserve">tors affecting the </w:t>
      </w:r>
      <w:r w:rsidR="008128DC" w:rsidRPr="008F4618">
        <w:rPr>
          <w:rFonts w:cs="DIN-RegularItalic"/>
          <w:i/>
          <w:iCs/>
        </w:rPr>
        <w:t>performance of the coating, we cannot assume responsibility for the product pe</w:t>
      </w:r>
      <w:r w:rsidR="008F4618" w:rsidRPr="008F4618">
        <w:rPr>
          <w:rFonts w:cs="DIN-RegularItalic"/>
          <w:i/>
          <w:iCs/>
        </w:rPr>
        <w:t xml:space="preserve">rformance, nor do we accept any </w:t>
      </w:r>
      <w:r w:rsidR="008128DC" w:rsidRPr="008F4618">
        <w:rPr>
          <w:rFonts w:cs="DIN-RegularItalic"/>
          <w:i/>
          <w:iCs/>
        </w:rPr>
        <w:t xml:space="preserve">liability arising from use of this product, unless specifically agreed to in writing </w:t>
      </w:r>
      <w:r w:rsidR="008F4618" w:rsidRPr="008F4618">
        <w:rPr>
          <w:rFonts w:cs="DIN-RegularItalic"/>
          <w:i/>
          <w:iCs/>
        </w:rPr>
        <w:t xml:space="preserve">by us. The information provided </w:t>
      </w:r>
      <w:r w:rsidR="008128DC" w:rsidRPr="008F4618">
        <w:rPr>
          <w:rFonts w:cs="DIN-RegularItalic"/>
          <w:i/>
          <w:iCs/>
        </w:rPr>
        <w:t>in the datasheet may be modified by us without notice.</w:t>
      </w:r>
    </w:p>
    <w:sectPr w:rsidR="008128DC" w:rsidRPr="008F4618" w:rsidSect="000F4F1B">
      <w:pgSz w:w="11906" w:h="16838"/>
      <w:pgMar w:top="0" w:right="991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Ital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86"/>
    <w:rsid w:val="000307A9"/>
    <w:rsid w:val="000F4F1B"/>
    <w:rsid w:val="002759E2"/>
    <w:rsid w:val="008128DC"/>
    <w:rsid w:val="00833268"/>
    <w:rsid w:val="008F4618"/>
    <w:rsid w:val="00DE0929"/>
    <w:rsid w:val="00EE59E3"/>
    <w:rsid w:val="00F43386"/>
    <w:rsid w:val="00FD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2015-04-14T07:31:00Z</dcterms:created>
  <dcterms:modified xsi:type="dcterms:W3CDTF">2015-07-14T06:27:00Z</dcterms:modified>
</cp:coreProperties>
</file>